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1.jpeg" ContentType="image/jpeg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2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1"/>
        <w:tabs>
          <w:tab w:val="clear" w:pos="720"/>
          <w:tab w:val="left" w:pos="3390" w:leader="none"/>
          <w:tab w:val="center" w:pos="5032" w:leader="none"/>
        </w:tabs>
        <w:spacing w:lineRule="auto" w:line="240" w:before="0" w:after="0"/>
        <w:jc w:val="center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u w:val="single"/>
        </w:rPr>
        <w:t xml:space="preserve"> </w:t>
      </w:r>
    </w:p>
    <w:p>
      <w:pPr>
        <w:pStyle w:val="normal1"/>
        <w:tabs>
          <w:tab w:val="clear" w:pos="720"/>
          <w:tab w:val="left" w:pos="3390" w:leader="none"/>
          <w:tab w:val="center" w:pos="5032" w:leader="none"/>
        </w:tabs>
        <w:spacing w:lineRule="auto" w:line="240" w:before="0" w:after="0"/>
        <w:jc w:val="center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u w:val="single"/>
        </w:rPr>
        <w:t>ESTUDO TÉCNICO PRELIMINAR</w:t>
      </w:r>
    </w:p>
    <w:p>
      <w:pPr>
        <w:pStyle w:val="normal1"/>
        <w:tabs>
          <w:tab w:val="clear" w:pos="720"/>
          <w:tab w:val="left" w:pos="3390" w:leader="none"/>
          <w:tab w:val="center" w:pos="5032" w:leader="none"/>
        </w:tabs>
        <w:spacing w:lineRule="auto" w:line="240" w:before="0" w:after="0"/>
        <w:jc w:val="center"/>
        <w:rPr>
          <w:rFonts w:ascii="Verdana" w:hAnsi="Verdana" w:eastAsia="Times New Roman" w:cs="Times New Roman"/>
          <w:b/>
          <w:bCs/>
          <w:sz w:val="20"/>
          <w:szCs w:val="20"/>
          <w:u w:val="single"/>
        </w:rPr>
      </w:pPr>
      <w:r>
        <w:rPr>
          <w:rFonts w:eastAsia="Times New Roman" w:cs="Times New Roman" w:ascii="Verdana" w:hAnsi="Verdana"/>
          <w:b/>
          <w:bCs/>
          <w:sz w:val="20"/>
          <w:szCs w:val="20"/>
          <w:u w:val="single"/>
        </w:rPr>
      </w:r>
    </w:p>
    <w:p>
      <w:pPr>
        <w:pStyle w:val="normal1"/>
        <w:tabs>
          <w:tab w:val="clear" w:pos="720"/>
          <w:tab w:val="left" w:pos="3390" w:leader="none"/>
          <w:tab w:val="center" w:pos="5032" w:leader="none"/>
        </w:tabs>
        <w:spacing w:lineRule="auto" w:line="240" w:before="0"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1. INFORMAÇÕES BÁSICAS</w:t>
      </w:r>
    </w:p>
    <w:p>
      <w:pPr>
        <w:pStyle w:val="normal1"/>
        <w:tabs>
          <w:tab w:val="clear" w:pos="720"/>
          <w:tab w:val="left" w:pos="3390" w:leader="none"/>
          <w:tab w:val="center" w:pos="5032" w:leader="none"/>
        </w:tabs>
        <w:spacing w:lineRule="auto" w:line="240" w:before="0" w:after="0"/>
        <w:rPr>
          <w:rFonts w:ascii="Verdana" w:hAnsi="Verdana" w:eastAsia="Times New Roman" w:cs="Times New Roman"/>
          <w:sz w:val="20"/>
          <w:szCs w:val="20"/>
        </w:rPr>
      </w:pPr>
      <w:r>
        <w:rPr>
          <w:rFonts w:eastAsia="Times New Roman" w:cs="Times New Roman" w:ascii="Verdana" w:hAnsi="Verdana"/>
          <w:sz w:val="20"/>
          <w:szCs w:val="20"/>
        </w:rPr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tabs>
          <w:tab w:val="clear" w:pos="720"/>
          <w:tab w:val="left" w:pos="3390" w:leader="none"/>
          <w:tab w:val="center" w:pos="5032" w:leader="none"/>
        </w:tabs>
        <w:spacing w:lineRule="auto" w:line="240" w:before="0" w:after="0"/>
        <w:ind w:hanging="0" w:left="0" w:right="0"/>
        <w:jc w:val="left"/>
        <w:rPr>
          <w:rFonts w:ascii="Verdana" w:hAnsi="Verdana"/>
          <w:sz w:val="20"/>
          <w:szCs w:val="20"/>
        </w:rPr>
      </w:pPr>
      <w:r>
        <w:rPr>
          <w:rFonts w:eastAsia="Times New Roman" w:cs="Times New Roman" w:ascii="Verdana" w:hAnsi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  <w:t xml:space="preserve">1.1. Processo Administrativo nº ____/2025. 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tabs>
          <w:tab w:val="clear" w:pos="720"/>
          <w:tab w:val="left" w:pos="3390" w:leader="none"/>
          <w:tab w:val="center" w:pos="5032" w:leader="none"/>
        </w:tabs>
        <w:spacing w:lineRule="auto" w:line="240" w:before="0" w:after="0"/>
        <w:ind w:hanging="0" w:left="720" w:right="0"/>
        <w:jc w:val="left"/>
        <w:rPr>
          <w:rFonts w:ascii="Verdana" w:hAnsi="Verdana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pPr>
      <w:r>
        <w:rPr>
          <w:rFonts w:ascii="Verdana" w:hAnsi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r>
    </w:p>
    <w:p>
      <w:pPr>
        <w:pStyle w:val="normal1"/>
        <w:spacing w:lineRule="auto" w:line="240"/>
        <w:jc w:val="center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AQUISIÇÃO DE EQUIPAMENTOS PARA ATENDER AS ESCOLAS DA REDE MUNICIPAL DE ENSINO, ATRAVÉS DE REGISTRO DE PREÇOS</w:t>
      </w:r>
      <w:r>
        <w:rPr>
          <w:rFonts w:eastAsia="Arial" w:cs="Arial" w:ascii="Verdana" w:hAnsi="Verdana"/>
          <w:sz w:val="20"/>
          <w:szCs w:val="20"/>
        </w:rPr>
        <w:t>.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tabs>
          <w:tab w:val="clear" w:pos="720"/>
          <w:tab w:val="left" w:pos="3390" w:leader="none"/>
          <w:tab w:val="center" w:pos="5032" w:leader="none"/>
        </w:tabs>
        <w:spacing w:lineRule="auto" w:line="240" w:before="0" w:after="0"/>
        <w:ind w:hanging="0" w:left="0" w:right="0"/>
        <w:jc w:val="center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tabs>
          <w:tab w:val="clear" w:pos="720"/>
          <w:tab w:val="left" w:pos="3390" w:leader="none"/>
          <w:tab w:val="center" w:pos="5032" w:leader="none"/>
        </w:tabs>
        <w:spacing w:lineRule="auto" w:line="240" w:before="0" w:after="0"/>
        <w:ind w:hanging="0" w:left="0" w:right="0"/>
        <w:jc w:val="both"/>
        <w:rPr>
          <w:rFonts w:ascii="Verdana" w:hAnsi="Verdana"/>
          <w:sz w:val="20"/>
          <w:szCs w:val="20"/>
        </w:rPr>
      </w:pPr>
      <w:r>
        <w:rPr>
          <w:rFonts w:eastAsia="Times New Roman" w:cs="Times New Roman" w:ascii="Verdana" w:hAnsi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  <w:t>Este documento consiste em Estudos necessários para assegurar a viabilidade da contratação, mensurar os riscos, determinar uma estratégia de contratação e fornecer subsídios para a elaboração do Termo de Referência, bem como definir um plano de sustentação para a solução contratada.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tabs>
          <w:tab w:val="clear" w:pos="720"/>
          <w:tab w:val="left" w:pos="3390" w:leader="none"/>
          <w:tab w:val="center" w:pos="5032" w:leader="none"/>
        </w:tabs>
        <w:spacing w:lineRule="auto" w:line="240" w:before="0" w:after="0"/>
        <w:ind w:hanging="0" w:left="0" w:right="0"/>
        <w:jc w:val="both"/>
        <w:rPr>
          <w:rFonts w:ascii="Verdana" w:hAnsi="Verdana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pPr>
      <w:r>
        <w:rPr>
          <w:rFonts w:eastAsia="Times New Roman" w:cs="Times New Roman" w:ascii="Verdana" w:hAnsi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tabs>
          <w:tab w:val="clear" w:pos="720"/>
          <w:tab w:val="left" w:pos="3390" w:leader="none"/>
          <w:tab w:val="center" w:pos="5032" w:leader="none"/>
        </w:tabs>
        <w:spacing w:lineRule="auto" w:line="240" w:before="0" w:after="0"/>
        <w:ind w:hanging="0" w:left="0" w:right="0"/>
        <w:jc w:val="both"/>
        <w:rPr>
          <w:rFonts w:ascii="Verdana" w:hAnsi="Verdana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pPr>
      <w:r>
        <w:rPr>
          <w:rFonts w:eastAsia="Times New Roman" w:cs="Times New Roman" w:ascii="Verdana" w:hAnsi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2. LOCAL DE ENTREGA 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Praça Vicente Glazar, 159, Centro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São Gabriel da Palha – ES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CEP 29.7800-000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3. CONTATO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Tel: 27 3727-3993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Email: </w:t>
      </w:r>
      <w:r>
        <w:rPr>
          <w:rFonts w:ascii="Verdana" w:hAnsi="Verdana"/>
          <w:sz w:val="20"/>
          <w:szCs w:val="20"/>
        </w:rPr>
        <w:t>financeirosemecsgp@gmail.com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Responsável: </w:t>
      </w:r>
      <w:r>
        <w:rPr>
          <w:rFonts w:ascii="Verdana" w:hAnsi="Verdana"/>
          <w:b w:val="false"/>
          <w:bCs w:val="false"/>
          <w:sz w:val="20"/>
          <w:szCs w:val="20"/>
        </w:rPr>
        <w:t xml:space="preserve">Secretaria Municipal de </w:t>
      </w:r>
      <w:r>
        <w:rPr>
          <w:rFonts w:ascii="Verdana" w:hAnsi="Verdana"/>
          <w:sz w:val="20"/>
          <w:szCs w:val="20"/>
        </w:rPr>
        <w:t>Educação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p>
      <w:pPr>
        <w:pStyle w:val="normal1"/>
        <w:shd w:val="clear" w:fill="FFFFFF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color w:val="000000"/>
          <w:sz w:val="20"/>
          <w:szCs w:val="20"/>
          <w:shd w:fill="auto" w:val="clear"/>
        </w:rPr>
        <w:t>4. PREVISÃO NO PLANO DE CONTRATAÇÕES ANUAL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4.1. </w:t>
      </w:r>
      <w:r>
        <w:rPr>
          <w:rFonts w:ascii="Verdana" w:hAnsi="Verdana"/>
          <w:b w:val="false"/>
          <w:bCs w:val="false"/>
          <w:sz w:val="20"/>
          <w:szCs w:val="20"/>
        </w:rPr>
        <w:t>A contratação pretendida tem consonância com o planejamento estratégico desta Instituição.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4.2.</w:t>
      </w:r>
      <w:r>
        <w:rPr>
          <w:rFonts w:ascii="Verdana" w:hAnsi="Verdana"/>
          <w:b w:val="false"/>
          <w:bCs w:val="false"/>
          <w:sz w:val="20"/>
          <w:szCs w:val="20"/>
        </w:rPr>
        <w:t xml:space="preserve"> Foi produzido documento de formalização de demanda, sob o número</w:t>
      </w:r>
      <w:r>
        <w:rPr>
          <w:rFonts w:ascii="Verdana" w:hAnsi="Verdana"/>
          <w:sz w:val="20"/>
          <w:szCs w:val="20"/>
        </w:rPr>
        <w:t xml:space="preserve"> 45</w:t>
      </w:r>
      <w:r>
        <w:rPr>
          <w:rFonts w:ascii="Verdana" w:hAnsi="Verdana"/>
          <w:b w:val="false"/>
          <w:bCs w:val="false"/>
          <w:sz w:val="20"/>
          <w:szCs w:val="20"/>
        </w:rPr>
        <w:t xml:space="preserve">, que contempla a contratação de de empresa </w:t>
      </w:r>
      <w:r>
        <w:rPr>
          <w:rFonts w:ascii="Verdana" w:hAnsi="Verdana"/>
          <w:sz w:val="20"/>
          <w:szCs w:val="20"/>
        </w:rPr>
        <w:t xml:space="preserve">especializada, por meio de </w:t>
      </w:r>
      <w:r>
        <w:rPr>
          <w:rFonts w:ascii="Verdana" w:hAnsi="Verdana"/>
          <w:b/>
          <w:bCs/>
          <w:sz w:val="20"/>
          <w:szCs w:val="20"/>
        </w:rPr>
        <w:t>licitação e registro de preço</w:t>
      </w:r>
      <w:r>
        <w:rPr>
          <w:rFonts w:ascii="Verdana" w:hAnsi="Verdana"/>
          <w:sz w:val="20"/>
          <w:szCs w:val="20"/>
        </w:rPr>
        <w:t>, para aquisição de equipamentos;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4.3. </w:t>
      </w:r>
      <w:r>
        <w:rPr>
          <w:rFonts w:ascii="Verdana" w:hAnsi="Verdana"/>
          <w:b w:val="false"/>
          <w:bCs w:val="false"/>
          <w:sz w:val="20"/>
          <w:szCs w:val="20"/>
        </w:rPr>
        <w:t>O contrato e/ou Ata de Registro de Preços advindos desta aquisição, poderão ser prorrogados conforme Lei. 14.133/2021, precedida de Pesquisa de Mercado, para comprovar o preço vantajoso.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5. DESCRIÇÃO DA NECESSIDADE</w:t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tabs>
          <w:tab w:val="clear" w:pos="720"/>
          <w:tab w:val="left" w:pos="-2410" w:leader="none"/>
          <w:tab w:val="left" w:pos="567" w:leader="none"/>
        </w:tabs>
        <w:spacing w:lineRule="auto" w:line="240" w:before="0" w:after="0"/>
        <w:ind w:hanging="0" w:left="0" w:right="0"/>
        <w:jc w:val="both"/>
        <w:rPr>
          <w:rFonts w:ascii="Verdana" w:hAnsi="Verdana"/>
          <w:sz w:val="20"/>
          <w:szCs w:val="20"/>
        </w:rPr>
      </w:pPr>
      <w:r>
        <w:rPr>
          <w:rFonts w:eastAsia="Times New Roman" w:cs="Times New Roman" w:ascii="Verdana" w:hAnsi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  <w:t>5.1.</w:t>
      </w:r>
      <w:r>
        <w:rPr>
          <w:rFonts w:ascii="Verdana" w:hAnsi="Verdana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  <w:t xml:space="preserve"> </w:t>
      </w:r>
      <w:r>
        <w:rPr>
          <w:rFonts w:ascii="Verdana" w:hAnsi="Verdana"/>
          <w:sz w:val="20"/>
          <w:szCs w:val="20"/>
        </w:rPr>
        <w:t>Contratação de empresa especializada</w:t>
      </w:r>
      <w:r>
        <w:rPr>
          <w:rFonts w:ascii="Verdana" w:hAnsi="Verdana"/>
          <w:b/>
          <w:bCs/>
          <w:sz w:val="20"/>
          <w:szCs w:val="20"/>
        </w:rPr>
        <w:t>, por meio de licitação e registro de preços</w:t>
      </w:r>
      <w:r>
        <w:rPr>
          <w:rFonts w:ascii="Verdana" w:hAnsi="Verdana"/>
          <w:sz w:val="20"/>
          <w:szCs w:val="20"/>
        </w:rPr>
        <w:t>, para aquisição de equipamentos.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5.2. </w:t>
      </w:r>
      <w:r>
        <w:rPr>
          <w:rFonts w:ascii="Verdana" w:hAnsi="Verdana"/>
          <w:sz w:val="20"/>
          <w:szCs w:val="20"/>
        </w:rPr>
        <w:t>Considerando a necessidade de atendermos as escolas municipais com os equipamentos;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5.3.</w:t>
      </w:r>
      <w:r>
        <w:rPr>
          <w:rFonts w:ascii="Verdana" w:hAnsi="Verdana"/>
          <w:sz w:val="20"/>
          <w:szCs w:val="20"/>
        </w:rPr>
        <w:t xml:space="preserve"> Considerando que é responsabilidade da Secretaria Municipal de Educação dar suporte e equipar as escolas a fim de oferecer subsídios para um bom atendimento aos alunos e funcionários, faz se necessária a contratação.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hanging="0" w:left="0" w:right="0"/>
        <w:jc w:val="both"/>
        <w:rPr>
          <w:rFonts w:ascii="Verdana" w:hAnsi="Verdana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pPr>
      <w:r>
        <w:rPr>
          <w:rFonts w:eastAsia="Times New Roman" w:cs="Times New Roman" w:ascii="Verdana" w:hAnsi="Verdana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r>
    </w:p>
    <w:p>
      <w:pPr>
        <w:pStyle w:val="normal1"/>
        <w:spacing w:lineRule="auto" w:line="240" w:before="0"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6. ÁREA REQUISITANTE</w:t>
      </w:r>
    </w:p>
    <w:p>
      <w:pPr>
        <w:pStyle w:val="normal1"/>
        <w:spacing w:lineRule="auto" w:line="240" w:before="0"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b w:val="false"/>
          <w:bCs w:val="false"/>
          <w:i w:val="false"/>
          <w:iCs w:val="false"/>
          <w:sz w:val="20"/>
          <w:szCs w:val="20"/>
        </w:rPr>
        <w:t xml:space="preserve">Secretaria Municipal de </w:t>
      </w:r>
      <w:r>
        <w:rPr>
          <w:rFonts w:ascii="Verdana" w:hAnsi="Verdana"/>
          <w:sz w:val="20"/>
          <w:szCs w:val="20"/>
        </w:rPr>
        <w:t>Educação</w:t>
      </w:r>
    </w:p>
    <w:p>
      <w:pPr>
        <w:pStyle w:val="normal1"/>
        <w:spacing w:lineRule="auto" w:line="240" w:before="0" w:after="0"/>
        <w:rPr>
          <w:rFonts w:ascii="Verdana" w:hAnsi="Verdana"/>
          <w:sz w:val="20"/>
          <w:szCs w:val="20"/>
        </w:rPr>
      </w:pPr>
      <w:r>
        <w:rPr>
          <w:rFonts w:eastAsia="Times New Roman" w:cs="Times New Roman" w:ascii="Verdana" w:hAnsi="Verdana"/>
          <w:i/>
          <w:iCs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7. DESCRIÇÃO DOS REQUISITOS DA CONTRATAÇÃO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7.1</w:t>
      </w:r>
      <w:r>
        <w:rPr>
          <w:rFonts w:ascii="Verdana" w:hAnsi="Verdana"/>
          <w:sz w:val="20"/>
          <w:szCs w:val="20"/>
        </w:rPr>
        <w:t xml:space="preserve"> Neste procedimento licitatório será sagrada vencedora o fornecedor apresentar o menor preço e poderá ser utilizado menor preço por item. 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7.2.</w:t>
      </w:r>
      <w:r>
        <w:rPr>
          <w:rFonts w:ascii="Verdana" w:hAnsi="Verdana"/>
          <w:sz w:val="20"/>
          <w:szCs w:val="20"/>
        </w:rPr>
        <w:t xml:space="preserve"> A contratação deverá obedecer, no que couber, ao disposto na Lei n.º 14.133/2021 e suas alterações e demais legislações correlatas.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7.3</w:t>
      </w:r>
      <w:r>
        <w:rPr>
          <w:rFonts w:ascii="Verdana" w:hAnsi="Verdana"/>
          <w:sz w:val="20"/>
          <w:szCs w:val="20"/>
        </w:rPr>
        <w:t xml:space="preserve"> Os serviços constituem-se de aquisição de equipamentos em atendimento às escolas da rede municipal de ensino e a Secretaria Municipal de Educação, através de registro de preços.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7.4</w:t>
      </w:r>
      <w:r>
        <w:rPr>
          <w:rFonts w:ascii="Verdana" w:hAnsi="Verdana"/>
          <w:sz w:val="20"/>
          <w:szCs w:val="20"/>
        </w:rPr>
        <w:t xml:space="preserve"> A entrega deverá ocorrer sem qualquer ônus adicional, bem como a descarga e todas as demais despesas provenientes da mesma, previamente agendada com a Secretaria Municipal de Educação;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7.5</w:t>
      </w:r>
      <w:r>
        <w:rPr>
          <w:rFonts w:ascii="Verdana" w:hAnsi="Verdana"/>
          <w:sz w:val="20"/>
          <w:szCs w:val="20"/>
        </w:rPr>
        <w:t xml:space="preserve"> A Empresa garantirá a qualidade dos equipamentos obrigando-se a repor aquele que apresentar defeito ou for entregue em desacordo com o apresentado na proposta; 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7.6</w:t>
      </w:r>
      <w:r>
        <w:rPr>
          <w:rFonts w:ascii="Verdana" w:hAnsi="Verdana"/>
          <w:sz w:val="20"/>
          <w:szCs w:val="20"/>
        </w:rPr>
        <w:t xml:space="preserve"> Os equipamentos que não estiverem de acordo com as especificações contidos na proposta, apresentem vício de qualidade ou impropriedade para o uso, serão recusados e devolvidos parcial ou totalmente, conforme caso, ficando a CONTRATADA, obrigada a substituí-los no prazo de 5 (cinco) dias úteis, contadas do recebimento da notificação escrita, sob pena de incorrer em atraso quanto ao prazo de execução;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7.7</w:t>
      </w:r>
      <w:r>
        <w:rPr>
          <w:rFonts w:ascii="Verdana" w:hAnsi="Verdana"/>
          <w:sz w:val="20"/>
          <w:szCs w:val="20"/>
        </w:rPr>
        <w:t xml:space="preserve"> Havendo erro na Nota Fiscal ou outra circunstância impeditiva, o recebimento definitivo será suspenso, até que a empresa tome as medidas saneadoras necessárias;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7.8</w:t>
      </w:r>
      <w:r>
        <w:rPr>
          <w:rFonts w:ascii="Verdana" w:hAnsi="Verdana"/>
          <w:sz w:val="20"/>
          <w:szCs w:val="20"/>
        </w:rPr>
        <w:t xml:space="preserve"> Nos preços apresentados deverão estar incluídas todas as despesas carga e descarga, com mão de obra, materiais, encargos trabalhistas, previdenciários, fiscais, comerciais, despesas e obrigações financeiras de qualquer natureza e outras despesas, diretas e indiretas, inclusive lucro, necessários à perfeita entrega dos equipamentos;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8. ESTIMATIVA DAS QUANTIDADES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shd w:fill="auto" w:val="clear"/>
        </w:rPr>
        <w:t>8.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Fonts w:ascii="Verdana" w:hAnsi="Verdana"/>
          <w:b/>
          <w:bCs/>
          <w:sz w:val="20"/>
          <w:szCs w:val="20"/>
          <w:shd w:fill="auto" w:val="clear"/>
        </w:rPr>
        <w:t xml:space="preserve">. </w:t>
      </w:r>
      <w:r>
        <w:rPr>
          <w:rFonts w:ascii="Verdana" w:hAnsi="Verdana"/>
          <w:sz w:val="20"/>
          <w:szCs w:val="20"/>
        </w:rPr>
        <w:t>A relação dos itens necessários para contemplar a solução, bem como a quantidade a ser contratada está descrita detalhadamente na requisição de compra  que é parte integrante deste processo.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shd w:fill="auto" w:val="clear"/>
        </w:rPr>
        <w:t>9. ESTIMATIVA DO VALOR DA CONTRATAÇÃO: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shd w:fill="auto" w:val="clear"/>
        </w:rPr>
        <w:t xml:space="preserve">9.1 </w:t>
      </w:r>
      <w:r>
        <w:rPr>
          <w:rFonts w:ascii="Verdana" w:hAnsi="Verdana"/>
          <w:b w:val="false"/>
          <w:bCs w:val="false"/>
          <w:color w:val="000000"/>
          <w:sz w:val="20"/>
          <w:szCs w:val="20"/>
          <w:shd w:fill="auto" w:val="clear"/>
        </w:rPr>
        <w:t>Conforme preceitua o Decreto n° 3.268/2022 que regulamenta o Procedimento Administrativo para Pesquisa de Preço para Aquisição de Bens e Contratação de Serviços em Geral, no Âmbito da Administração Pública Direta e Indireta do Município de São Gabriel da Palha-ES.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color w:val="000000"/>
          <w:sz w:val="20"/>
          <w:szCs w:val="20"/>
          <w:shd w:fill="auto" w:val="clear"/>
        </w:rPr>
        <w:t xml:space="preserve">9.2. </w:t>
      </w:r>
      <w:r>
        <w:rPr>
          <w:rFonts w:ascii="Verdana" w:hAnsi="Verdana"/>
          <w:sz w:val="20"/>
          <w:szCs w:val="20"/>
        </w:rPr>
        <w:t>Valores levantados por pesquisa de pregões anteriores e internet,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shd w:fill="auto" w:val="clear"/>
        </w:rPr>
        <w:t>9.</w:t>
      </w:r>
      <w:r>
        <w:rPr>
          <w:rFonts w:ascii="Verdana" w:hAnsi="Verdana"/>
          <w:b/>
          <w:bCs/>
          <w:sz w:val="20"/>
          <w:szCs w:val="20"/>
        </w:rPr>
        <w:t>3</w:t>
      </w:r>
      <w:r>
        <w:rPr>
          <w:rFonts w:ascii="Verdana" w:hAnsi="Verdana"/>
          <w:b/>
          <w:bCs/>
          <w:sz w:val="20"/>
          <w:szCs w:val="20"/>
          <w:shd w:fill="auto" w:val="clear"/>
        </w:rPr>
        <w:t xml:space="preserve"> </w:t>
      </w:r>
      <w:r>
        <w:rPr>
          <w:rFonts w:ascii="Verdana" w:hAnsi="Verdana"/>
          <w:sz w:val="20"/>
          <w:szCs w:val="20"/>
          <w:shd w:fill="auto" w:val="clear"/>
        </w:rPr>
        <w:t>O valor estimado da contratação é de</w:t>
      </w:r>
      <w:r>
        <w:rPr>
          <w:rFonts w:ascii="Verdana" w:hAnsi="Verdana"/>
          <w:b/>
          <w:bCs/>
          <w:sz w:val="20"/>
          <w:szCs w:val="20"/>
          <w:shd w:fill="auto" w:val="clear"/>
        </w:rPr>
        <w:t xml:space="preserve"> R</w:t>
      </w:r>
      <w:r>
        <w:rPr>
          <w:rFonts w:ascii="Verdana" w:hAnsi="Verdana"/>
          <w:b/>
          <w:bCs/>
          <w:sz w:val="20"/>
          <w:szCs w:val="20"/>
        </w:rPr>
        <w:t>$ 194.000,00 (cento e noventa e quatro mil reais)</w:t>
      </w:r>
      <w:r>
        <w:rPr>
          <w:rFonts w:ascii="Verdana" w:hAnsi="Verdana"/>
          <w:b/>
          <w:bCs/>
          <w:color w:val="000000"/>
          <w:sz w:val="20"/>
          <w:szCs w:val="20"/>
          <w:shd w:fill="auto" w:val="clear"/>
        </w:rPr>
        <w:t xml:space="preserve"> </w:t>
      </w:r>
      <w:r>
        <w:rPr>
          <w:rFonts w:ascii="Verdana" w:hAnsi="Verdana"/>
          <w:sz w:val="20"/>
          <w:szCs w:val="20"/>
          <w:shd w:fill="auto" w:val="clear"/>
        </w:rPr>
        <w:t>constante na planilha que se segue</w:t>
      </w:r>
      <w:r>
        <w:rPr>
          <w:rFonts w:ascii="Verdana" w:hAnsi="Verdana"/>
          <w:sz w:val="20"/>
          <w:szCs w:val="20"/>
        </w:rPr>
        <w:t>:</w:t>
      </w:r>
    </w:p>
    <w:p>
      <w:pPr>
        <w:pStyle w:val="normal1"/>
        <w:widowControl w:val="false"/>
        <w:spacing w:lineRule="auto" w:line="24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</w:r>
    </w:p>
    <w:tbl>
      <w:tblPr>
        <w:tblStyle w:val="Table1"/>
        <w:tblW w:w="9750" w:type="dxa"/>
        <w:jc w:val="left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/>
      </w:tblPr>
      <w:tblGrid>
        <w:gridCol w:w="943"/>
        <w:gridCol w:w="3555"/>
        <w:gridCol w:w="1515"/>
        <w:gridCol w:w="1457"/>
        <w:gridCol w:w="2280"/>
      </w:tblGrid>
      <w:tr>
        <w:trPr/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sdt>
              <w:sdtPr>
                <w:tag w:val="goog_rdk_0"/>
                <w:id w:val="1629901129"/>
                <w:lock w:val="contentLocked"/>
                <w:text/>
              </w:sdtPr>
              <w:sdtContent>
                <w:r>
                  <w:rPr>
                    <w:rFonts w:ascii="Verdana" w:hAnsi="Verdana"/>
                    <w:b/>
                    <w:bCs/>
                    <w:sz w:val="20"/>
                    <w:szCs w:val="20"/>
                  </w:rPr>
                </w:r>
                <w:r>
                  <w:rPr>
                    <w:rFonts w:ascii="Verdana" w:hAnsi="Verdana"/>
                    <w:b/>
                    <w:bCs/>
                    <w:sz w:val="20"/>
                    <w:szCs w:val="20"/>
                  </w:rPr>
                  <w:t>ITEM</w:t>
                </w:r>
              </w:sdtContent>
            </w:sdt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DESCRIÇÃO DOS PRODUTOS</w:t>
            </w:r>
          </w:p>
        </w:tc>
        <w:tc>
          <w:tcPr>
            <w:tcW w:w="1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QTD</w:t>
            </w:r>
          </w:p>
        </w:tc>
        <w:tc>
          <w:tcPr>
            <w:tcW w:w="1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VR UNI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VR TOTAL</w:t>
            </w:r>
          </w:p>
        </w:tc>
      </w:tr>
      <w:tr>
        <w:trPr/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PROJETOR MULTIMIDIA (DATA SHOW): Tecnologia de imagem: LCD e LED, 5.000 lumens</w:t>
            </w:r>
          </w:p>
          <w:p>
            <w:pPr>
              <w:pStyle w:val="normal1"/>
              <w:widowControl w:val="false"/>
              <w:shd w:val="clear" w:fill="FFFFFF"/>
              <w:spacing w:lineRule="auto" w:line="24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Resolução máxima suportada da projeção: 1920 x 1080 p; Vida útil da lâmpada: 30.000 horas</w:t>
            </w:r>
          </w:p>
          <w:p>
            <w:pPr>
              <w:pStyle w:val="normal1"/>
              <w:widowControl w:val="false"/>
              <w:shd w:val="clear" w:fill="FFFFFF"/>
              <w:spacing w:lineRule="auto" w:line="24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Modo do foco: Eletrônico; Distância da projeção em metros: 1,45 m – 6,65 m; Tamanho de projeção em polegadas: 44” – 200”; Mídias suportadas: música / imagem / vídeo / txt; Detalhes da porta: HDMI * 2 / USB / *2 AV / P3; Capacidade máxima de memória suportada (USB / SD): 1 TB;  Conectividade Bluetooth: 5.1; Sistema operacional e versão: Android 9 ou superior; Máxima capacidade de armazenamento (ROM): 8 GB Memória RAM: 1 GB</w:t>
            </w:r>
          </w:p>
          <w:p>
            <w:pPr>
              <w:pStyle w:val="normal1"/>
              <w:widowControl w:val="false"/>
              <w:shd w:val="clear" w:fill="FFFFFF"/>
              <w:spacing w:lineRule="auto" w:line="24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Conectividade Wi-Fi: Sim (2.4 G &amp; 5 G)</w:t>
            </w:r>
          </w:p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</w:r>
          </w:p>
        </w:tc>
        <w:tc>
          <w:tcPr>
            <w:tcW w:w="1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10</w:t>
            </w:r>
          </w:p>
        </w:tc>
        <w:tc>
          <w:tcPr>
            <w:tcW w:w="1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R$ 2.500,00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R$ 25.000,00</w:t>
            </w:r>
          </w:p>
        </w:tc>
      </w:tr>
      <w:tr>
        <w:trPr/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VENTILADOR DE PAREDE: 50cm, 3 pás (no mínimo), oscilação horizontal, ajuste inclinação vertical, bivolt, função dimmer, potência 200w, estrutura em aço</w:t>
            </w:r>
          </w:p>
        </w:tc>
        <w:tc>
          <w:tcPr>
            <w:tcW w:w="1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200</w:t>
            </w:r>
          </w:p>
        </w:tc>
        <w:tc>
          <w:tcPr>
            <w:tcW w:w="1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R$ 300,00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R$ 60.000,00</w:t>
            </w:r>
          </w:p>
        </w:tc>
      </w:tr>
      <w:tr>
        <w:trPr/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CAIXA DE SOM: Tipo portátil, rodas e alça (puxador) para transporte, 350wts potência (mínima), alimentação bateria, bluetooth, usb, rádio FM, entrada auxiliar e 2 P2, equalizador 3 bandas</w:t>
            </w:r>
          </w:p>
        </w:tc>
        <w:tc>
          <w:tcPr>
            <w:tcW w:w="1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30</w:t>
            </w:r>
          </w:p>
        </w:tc>
        <w:tc>
          <w:tcPr>
            <w:tcW w:w="1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R$ 600,00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R$ 18.000,00</w:t>
            </w:r>
          </w:p>
        </w:tc>
      </w:tr>
      <w:tr>
        <w:trPr/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MICROFONE SEM FIO: </w:t>
            </w:r>
            <w:r>
              <w:rPr>
                <w:rFonts w:ascii="Verdana" w:hAnsi="Verdana"/>
                <w:sz w:val="20"/>
                <w:szCs w:val="20"/>
                <w:highlight w:val="white"/>
              </w:rPr>
              <w:t xml:space="preserve"> sistema de microfone sem fio de frequência fixa de dois canais; Ponto de frequência: 512-562 MHz; Resposta de frequência de 50Hz-20,000Hz; Razão sinal-ruído de 90-dB para um fundo sem ruídos; Alcance: 60m.</w:t>
            </w:r>
          </w:p>
        </w:tc>
        <w:tc>
          <w:tcPr>
            <w:tcW w:w="1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10</w:t>
            </w:r>
          </w:p>
        </w:tc>
        <w:tc>
          <w:tcPr>
            <w:tcW w:w="1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R$ 400,00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R$ 4.000,00</w:t>
            </w:r>
          </w:p>
        </w:tc>
      </w:tr>
      <w:tr>
        <w:trPr/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MESA REFEITÓRIO (ADULTO ) : Altura: 75cm, Largura:80cm, comprimento 260 cm; com banco</w:t>
            </w:r>
          </w:p>
        </w:tc>
        <w:tc>
          <w:tcPr>
            <w:tcW w:w="1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50</w:t>
            </w:r>
          </w:p>
        </w:tc>
        <w:tc>
          <w:tcPr>
            <w:tcW w:w="1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R$1500,00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R$75.000,00</w:t>
            </w:r>
          </w:p>
        </w:tc>
      </w:tr>
      <w:tr>
        <w:trPr>
          <w:trHeight w:val="546" w:hRule="atLeast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IMPRESSORA MULTIFUNCIONAl COLORIDA: </w:t>
            </w:r>
            <w:r>
              <w:rPr>
                <w:rFonts w:ascii="Verdana" w:hAnsi="Verdana"/>
                <w:sz w:val="20"/>
                <w:szCs w:val="20"/>
                <w:highlight w:val="white"/>
              </w:rPr>
              <w:t>Tecnologia de impressão: Jato de tinta, funções: copia, imprime, escaneia, usb, wifi, wireless</w:t>
            </w:r>
          </w:p>
        </w:tc>
        <w:tc>
          <w:tcPr>
            <w:tcW w:w="1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10</w:t>
            </w:r>
          </w:p>
        </w:tc>
        <w:tc>
          <w:tcPr>
            <w:tcW w:w="1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R$1200,00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R$12.000,00</w:t>
            </w:r>
          </w:p>
        </w:tc>
      </w:tr>
      <w:tr>
        <w:trPr>
          <w:trHeight w:val="546" w:hRule="atLeast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</w:r>
          </w:p>
        </w:tc>
        <w:tc>
          <w:tcPr>
            <w:tcW w:w="3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</w:r>
          </w:p>
        </w:tc>
        <w:tc>
          <w:tcPr>
            <w:tcW w:w="1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</w:r>
          </w:p>
        </w:tc>
        <w:tc>
          <w:tcPr>
            <w:tcW w:w="14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VR TOTAL</w:t>
            </w:r>
          </w:p>
        </w:tc>
        <w:tc>
          <w:tcPr>
            <w:tcW w:w="2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R$194.000,00</w:t>
            </w:r>
          </w:p>
        </w:tc>
      </w:tr>
    </w:tbl>
    <w:p>
      <w:pPr>
        <w:pStyle w:val="normal1"/>
        <w:widowControl w:val="false"/>
        <w:spacing w:lineRule="auto" w:line="24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 w:eastAsia="Times New Roman" w:cs="Times New Roman"/>
          <w:b/>
          <w:bCs/>
          <w:sz w:val="20"/>
          <w:szCs w:val="20"/>
        </w:rPr>
      </w:pPr>
      <w:r>
        <w:rPr>
          <w:rFonts w:eastAsia="Times New Roman" w:cs="Times New Roman" w:ascii="Verdana" w:hAnsi="Verdana"/>
          <w:b/>
          <w:bCs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shd w:fill="auto" w:val="clear"/>
        </w:rPr>
        <w:t>10. DESCRIÇÃO DA SOLUÇÃO COMO UM TODO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10.1</w:t>
      </w:r>
      <w:r>
        <w:rPr>
          <w:rFonts w:ascii="Verdana" w:hAnsi="Verdana"/>
          <w:sz w:val="20"/>
          <w:szCs w:val="20"/>
        </w:rPr>
        <w:t xml:space="preserve"> A solução a ser adotada consiste na aquisição de equipamentos para as unidades escolares e Secretaria Municipal de Educação.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10.2 </w:t>
      </w:r>
      <w:r>
        <w:rPr>
          <w:rFonts w:ascii="Verdana" w:hAnsi="Verdana"/>
          <w:sz w:val="20"/>
          <w:szCs w:val="20"/>
        </w:rPr>
        <w:t>A aquisição deverá obedecer, no que couber, ao disposto na Lei n.º 14.133/2021 e suas alterações.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10.3 </w:t>
      </w:r>
      <w:r>
        <w:rPr>
          <w:rFonts w:ascii="Verdana" w:hAnsi="Verdana"/>
          <w:sz w:val="20"/>
          <w:szCs w:val="20"/>
        </w:rPr>
        <w:t>As especificações dos serviços que estão contidas neste Estudo Técnico Preliminar, conforme solicitação de compras em anexo, estão de acordo com os padrões existentes no mercado.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10.4. </w:t>
      </w:r>
      <w:r>
        <w:rPr>
          <w:rFonts w:ascii="Verdana" w:hAnsi="Verdana"/>
          <w:sz w:val="20"/>
          <w:szCs w:val="20"/>
        </w:rPr>
        <w:t xml:space="preserve">O </w:t>
      </w:r>
      <w:r>
        <w:rPr>
          <w:rFonts w:ascii="Verdana" w:hAnsi="Verdana"/>
          <w:b/>
          <w:bCs/>
          <w:sz w:val="20"/>
          <w:szCs w:val="20"/>
        </w:rPr>
        <w:t>prazo</w:t>
      </w:r>
      <w:r>
        <w:rPr>
          <w:rFonts w:ascii="Verdana" w:hAnsi="Verdana"/>
          <w:sz w:val="20"/>
          <w:szCs w:val="20"/>
        </w:rPr>
        <w:t xml:space="preserve"> de entrega será de </w:t>
      </w:r>
      <w:r>
        <w:rPr>
          <w:rFonts w:ascii="Verdana" w:hAnsi="Verdana"/>
          <w:b/>
          <w:bCs/>
          <w:sz w:val="20"/>
          <w:szCs w:val="20"/>
        </w:rPr>
        <w:t>45 dias após a emissão de Autorização de Fornecimento.</w:t>
      </w:r>
    </w:p>
    <w:p>
      <w:pPr>
        <w:pStyle w:val="normal1"/>
        <w:spacing w:lineRule="auto" w:line="24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b w:val="false"/>
          <w:bCs w:val="false"/>
          <w:i/>
          <w:i/>
          <w:iCs/>
          <w:sz w:val="20"/>
          <w:szCs w:val="20"/>
          <w:shd w:fill="auto" w:val="clear"/>
        </w:rPr>
      </w:pPr>
      <w:r>
        <w:rPr>
          <w:rFonts w:ascii="Verdana" w:hAnsi="Verdana"/>
          <w:b w:val="false"/>
          <w:bCs w:val="false"/>
          <w:i/>
          <w:iCs/>
          <w:sz w:val="20"/>
          <w:szCs w:val="20"/>
          <w:shd w:fill="auto" w:val="clear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color w:val="000000"/>
          <w:sz w:val="20"/>
          <w:szCs w:val="20"/>
        </w:rPr>
        <w:t>11. JUSTIFICATIVA PARA O PARCELAMENTO OU NÃO DA SOLUÇÃO</w:t>
      </w:r>
    </w:p>
    <w:p>
      <w:pPr>
        <w:pStyle w:val="normal1"/>
        <w:spacing w:lineRule="auto" w:line="240" w:before="0" w:after="0"/>
        <w:ind w:hanging="0" w:left="0" w:right="-425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shd w:fill="auto" w:val="clear"/>
        </w:rPr>
        <w:t>11.1.</w:t>
      </w:r>
      <w:r>
        <w:rPr>
          <w:rFonts w:ascii="Verdana" w:hAnsi="Verdana"/>
          <w:sz w:val="20"/>
          <w:szCs w:val="20"/>
          <w:shd w:fill="auto" w:val="clear"/>
        </w:rPr>
        <w:t xml:space="preserve"> </w:t>
      </w:r>
      <w:r>
        <w:rPr>
          <w:rFonts w:ascii="Verdana" w:hAnsi="Verdana"/>
          <w:sz w:val="20"/>
          <w:szCs w:val="20"/>
        </w:rPr>
        <w:t>O objeto da contratação será composto por 6 itens, de preço total orçado previamente pela administração no valor</w:t>
      </w:r>
      <w:r>
        <w:rPr>
          <w:rFonts w:ascii="Verdana" w:hAnsi="Verdana"/>
          <w:b/>
          <w:bCs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R$194.000,00 (cento e noventa e quatro mil reais)</w:t>
      </w:r>
      <w:r>
        <w:rPr>
          <w:rFonts w:ascii="Verdana" w:hAnsi="Verdana"/>
          <w:b/>
          <w:bCs/>
          <w:sz w:val="20"/>
          <w:szCs w:val="20"/>
        </w:rPr>
        <w:t xml:space="preserve">. Os equipamentos deverão ser entregues no prazo máximo de 45 dias corridos após a emissão da Autorização de Fornecimento. </w:t>
      </w:r>
      <w:r>
        <w:rPr>
          <w:rFonts w:ascii="Verdana" w:hAnsi="Verdana"/>
          <w:sz w:val="20"/>
          <w:szCs w:val="20"/>
        </w:rPr>
        <w:t>Para fins de classificação, será considerado o menor preço ou menor desconto. Compete à administração buscar o menor dispêndio possível de recursos, assegurando a qualidade da prestação do serviço, o que exige a escolha da solução mais adequada e eficiente dentre as diversas opções existentes já por ocasião da definição do objeto e das condições da contratação, posto que seja essa descrição que impulsiona a seleção da proposta mais vantajosa.</w:t>
      </w:r>
    </w:p>
    <w:p>
      <w:pPr>
        <w:pStyle w:val="normal1"/>
        <w:spacing w:lineRule="auto" w:line="240" w:before="0" w:after="0"/>
        <w:ind w:hanging="0" w:left="0" w:right="-425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</w:r>
    </w:p>
    <w:p>
      <w:pPr>
        <w:pStyle w:val="normal1"/>
        <w:spacing w:lineRule="auto" w:line="240" w:before="0" w:after="0"/>
        <w:ind w:hanging="0" w:left="0" w:right="-425"/>
        <w:jc w:val="both"/>
        <w:rPr>
          <w:rFonts w:ascii="Verdana" w:hAnsi="Verdana"/>
          <w:sz w:val="20"/>
          <w:szCs w:val="20"/>
          <w:shd w:fill="auto" w:val="clear"/>
        </w:rPr>
      </w:pPr>
      <w:r>
        <w:rPr>
          <w:rFonts w:ascii="Verdana" w:hAnsi="Verdana"/>
          <w:sz w:val="20"/>
          <w:szCs w:val="20"/>
          <w:shd w:fill="auto" w:val="clear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12. RESULTADOS PRETENDIDOS COM A CONTRATAÇÃO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12.1 </w:t>
      </w:r>
      <w:r>
        <w:rPr>
          <w:rFonts w:ascii="Verdana" w:hAnsi="Verdana"/>
          <w:sz w:val="20"/>
          <w:szCs w:val="20"/>
        </w:rPr>
        <w:t>Com a aquisição, buscaremos atender as demandas escolares e da Secretaria Municipal de Educação, visando garantir um bom atendimento aos estudantes e subsidiando o ensino.</w:t>
      </w:r>
    </w:p>
    <w:p>
      <w:pPr>
        <w:pStyle w:val="normal1"/>
        <w:spacing w:lineRule="auto" w:line="240" w:before="0" w:after="0"/>
        <w:ind w:hanging="0" w:left="0" w:right="-425"/>
        <w:jc w:val="both"/>
        <w:rPr>
          <w:rFonts w:ascii="Verdana" w:hAnsi="Verdana"/>
          <w:sz w:val="20"/>
          <w:szCs w:val="20"/>
          <w:shd w:fill="auto" w:val="clear"/>
        </w:rPr>
      </w:pPr>
      <w:r>
        <w:rPr>
          <w:rFonts w:ascii="Verdana" w:hAnsi="Verdana"/>
          <w:sz w:val="20"/>
          <w:szCs w:val="20"/>
          <w:shd w:fill="auto" w:val="clear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13. PROVIDÊNCIAS A SEREM ADOTADAS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13.1. </w:t>
      </w:r>
      <w:r>
        <w:rPr>
          <w:rFonts w:ascii="Verdana" w:hAnsi="Verdana"/>
          <w:sz w:val="20"/>
          <w:szCs w:val="20"/>
        </w:rPr>
        <w:t>A Secretaria Municipal de Educação deverá acompanhar, fiscalizar, comprovar e relatar, por escrito, as eventuais irregularidades na entrega dos equipamentos.</w:t>
      </w:r>
      <w:r>
        <w:rPr>
          <w:rFonts w:ascii="Verdana" w:hAnsi="Verdana"/>
          <w:b w:val="false"/>
          <w:bCs w:val="false"/>
          <w:sz w:val="20"/>
          <w:szCs w:val="20"/>
        </w:rPr>
        <w:t>.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14. CONTRATAÇÕES CORRELATAS E/OU INTERDEPENDENTES</w:t>
      </w:r>
    </w:p>
    <w:p>
      <w:pPr>
        <w:pStyle w:val="normal1"/>
        <w:widowControl/>
        <w:spacing w:lineRule="auto" w:line="240" w:before="0" w:after="0"/>
        <w:ind w:hanging="0" w:left="0" w:right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14.1.</w:t>
      </w:r>
      <w:r>
        <w:rPr>
          <w:rFonts w:ascii="Verdana" w:hAnsi="Verdana"/>
          <w:sz w:val="20"/>
          <w:szCs w:val="20"/>
        </w:rPr>
        <w:t xml:space="preserve"> Não se verificam contratações correlatas ou interdependentes para a viabilidade e contratação desta demanda.</w:t>
      </w:r>
    </w:p>
    <w:p>
      <w:pPr>
        <w:pStyle w:val="normal1"/>
        <w:spacing w:lineRule="auto" w:line="240" w:before="0" w:after="0"/>
        <w:jc w:val="both"/>
        <w:rPr>
          <w:rFonts w:ascii="Verdana" w:hAnsi="Verdana" w:eastAsia="Times New Roman" w:cs="Times New Roman"/>
          <w:sz w:val="20"/>
          <w:szCs w:val="20"/>
        </w:rPr>
      </w:pPr>
      <w:r>
        <w:rPr>
          <w:rFonts w:eastAsia="Times New Roman" w:cs="Times New Roman" w:ascii="Verdana" w:hAnsi="Verdana"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shd w:fill="auto" w:val="clear"/>
        </w:rPr>
        <w:t>15. POSSÍVEIS IMPACTOS AMBIENTAIS</w:t>
      </w:r>
    </w:p>
    <w:p>
      <w:pPr>
        <w:pStyle w:val="normal1"/>
        <w:widowControl/>
        <w:spacing w:lineRule="auto" w:line="240" w:before="0" w:after="0"/>
        <w:ind w:hanging="0" w:left="0" w:right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shd w:fill="auto" w:val="clear"/>
        </w:rPr>
        <w:t xml:space="preserve">15.1. </w:t>
      </w:r>
      <w:r>
        <w:rPr>
          <w:rFonts w:ascii="Verdana" w:hAnsi="Verdana"/>
          <w:sz w:val="20"/>
          <w:szCs w:val="20"/>
        </w:rPr>
        <w:t>Não haverá danos ao meio ambiente.</w:t>
      </w:r>
    </w:p>
    <w:p>
      <w:pPr>
        <w:pStyle w:val="normal1"/>
        <w:widowControl/>
        <w:spacing w:lineRule="auto" w:line="240" w:before="0" w:after="0"/>
        <w:ind w:hanging="0" w:left="0" w:right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16. DECLARAÇÃO E JUSTIFICATIVA DA VIABILIDADE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16.1. </w:t>
      </w:r>
      <w:r>
        <w:rPr>
          <w:rFonts w:ascii="Verdana" w:hAnsi="Verdana"/>
          <w:sz w:val="20"/>
          <w:szCs w:val="20"/>
        </w:rPr>
        <w:t>A equipe de planejamento deste ETP e de acordo com a autoridade deste requerente, declara viável esta contratação;</w:t>
      </w:r>
    </w:p>
    <w:p>
      <w:pPr>
        <w:pStyle w:val="normal1"/>
        <w:spacing w:lineRule="auto" w:line="240" w:before="0" w:after="0"/>
        <w:jc w:val="right"/>
        <w:rPr>
          <w:rFonts w:ascii="Verdana" w:hAnsi="Verdana"/>
          <w:sz w:val="20"/>
          <w:szCs w:val="20"/>
          <w:shd w:fill="auto" w:val="clear"/>
        </w:rPr>
      </w:pPr>
      <w:r>
        <w:rPr>
          <w:rFonts w:ascii="Verdana" w:hAnsi="Verdana"/>
          <w:sz w:val="20"/>
          <w:szCs w:val="20"/>
          <w:shd w:fill="auto" w:val="clear"/>
        </w:rPr>
      </w:r>
    </w:p>
    <w:p>
      <w:pPr>
        <w:pStyle w:val="normal1"/>
        <w:spacing w:lineRule="auto" w:line="240" w:before="0" w:after="0"/>
        <w:jc w:val="right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</w:r>
    </w:p>
    <w:p>
      <w:pPr>
        <w:pStyle w:val="normal1"/>
        <w:spacing w:lineRule="auto" w:line="240" w:before="0" w:after="0"/>
        <w:jc w:val="right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São Gabriel da Palha,05 de dezembro de 2025. </w:t>
      </w:r>
    </w:p>
    <w:p>
      <w:pPr>
        <w:pStyle w:val="normal1"/>
        <w:spacing w:lineRule="auto" w:line="240" w:before="0" w:after="0"/>
        <w:jc w:val="right"/>
        <w:rPr>
          <w:rFonts w:ascii="Verdana" w:hAnsi="Verdana" w:eastAsia="Times New Roman" w:cs="Times New Roman"/>
          <w:sz w:val="20"/>
          <w:szCs w:val="20"/>
        </w:rPr>
      </w:pPr>
      <w:r>
        <w:rPr>
          <w:rFonts w:eastAsia="Times New Roman" w:cs="Times New Roman" w:ascii="Verdana" w:hAnsi="Verdana"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p>
      <w:pPr>
        <w:pStyle w:val="normal1"/>
        <w:spacing w:lineRule="auto" w:line="240" w:before="0" w:after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17. RESPONSÁVEIS</w:t>
      </w:r>
    </w:p>
    <w:p>
      <w:pPr>
        <w:pStyle w:val="normal1"/>
        <w:spacing w:lineRule="auto" w:line="240" w:before="0" w:after="0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</w:r>
    </w:p>
    <w:tbl>
      <w:tblPr>
        <w:tblStyle w:val="Table2"/>
        <w:tblW w:w="9745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/>
      </w:tblPr>
      <w:tblGrid>
        <w:gridCol w:w="4873"/>
        <w:gridCol w:w="4871"/>
      </w:tblGrid>
      <w:tr>
        <w:trPr/>
        <w:tc>
          <w:tcPr>
            <w:tcW w:w="4873" w:type="dxa"/>
            <w:tcBorders/>
          </w:tcPr>
          <w:p>
            <w:pPr>
              <w:pStyle w:val="normal1"/>
              <w:widowControl w:val="false"/>
              <w:spacing w:lineRule="auto" w:line="240" w:before="0" w:after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eastAsia="Liberation Serif" w:cs="Liberation Serif" w:ascii="Verdana" w:hAnsi="Verdana"/>
                <w:b/>
                <w:bCs/>
                <w:i w:val="false"/>
                <w:iCs w:val="false"/>
                <w:strike w:val="false"/>
                <w:dstrike w:val="false"/>
                <w:color w:val="000000"/>
                <w:sz w:val="20"/>
                <w:szCs w:val="20"/>
                <w:u w:val="none"/>
              </w:rPr>
              <w:t>Elaborado por:</w:t>
            </w:r>
          </w:p>
        </w:tc>
        <w:tc>
          <w:tcPr>
            <w:tcW w:w="4871" w:type="dxa"/>
            <w:tcBorders/>
          </w:tcPr>
          <w:p>
            <w:pPr>
              <w:pStyle w:val="normal1"/>
              <w:widowControl w:val="false"/>
              <w:spacing w:lineRule="auto" w:line="240"/>
              <w:jc w:val="left"/>
              <w:rPr>
                <w:rFonts w:ascii="Verdana" w:hAnsi="Verdana"/>
                <w:sz w:val="20"/>
                <w:szCs w:val="20"/>
              </w:rPr>
            </w:pPr>
            <w:r>
              <w:rPr>
                <w:rFonts w:eastAsia="Liberation Serif" w:cs="Liberation Serif" w:ascii="Verdana" w:hAnsi="Verdana"/>
                <w:b/>
                <w:bCs/>
                <w:i w:val="false"/>
                <w:iCs w:val="false"/>
                <w:strike w:val="false"/>
                <w:dstrike w:val="false"/>
                <w:color w:val="000000"/>
                <w:sz w:val="20"/>
                <w:szCs w:val="20"/>
                <w:u w:val="none"/>
              </w:rPr>
              <w:t>Autorizado por:</w:t>
            </w:r>
          </w:p>
        </w:tc>
      </w:tr>
      <w:tr>
        <w:trPr/>
        <w:tc>
          <w:tcPr>
            <w:tcW w:w="4873" w:type="dxa"/>
            <w:tcBorders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 w:eastAsia="Liberation Serif" w:cs="Liberation Serif"/>
                <w:b w:val="false"/>
                <w:bCs w:val="false"/>
                <w:i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0"/>
                <w:sz w:val="20"/>
                <w:szCs w:val="20"/>
                <w:u w:val="none"/>
                <w:shd w:fill="auto" w:val="clear"/>
                <w:vertAlign w:val="baseline"/>
              </w:rPr>
            </w:pPr>
            <w:r>
              <w:rPr>
                <w:rFonts w:eastAsia="Liberation Serif" w:cs="Liberation Serif" w:ascii="Verdana" w:hAnsi="Verdana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0"/>
                <w:sz w:val="20"/>
                <w:szCs w:val="20"/>
                <w:u w:val="none"/>
                <w:shd w:fill="auto" w:val="clear"/>
                <w:vertAlign w:val="baseline"/>
              </w:rPr>
            </w:r>
          </w:p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 w:eastAsia="Liberation Serif" w:cs="Liberation Serif"/>
                <w:b w:val="false"/>
                <w:bCs w:val="false"/>
                <w:i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0"/>
                <w:sz w:val="20"/>
                <w:szCs w:val="20"/>
                <w:u w:val="none"/>
                <w:shd w:fill="auto" w:val="clear"/>
                <w:vertAlign w:val="baseline"/>
              </w:rPr>
            </w:pPr>
            <w:r>
              <w:rPr>
                <w:rFonts w:eastAsia="Liberation Serif" w:cs="Liberation Serif" w:ascii="Verdana" w:hAnsi="Verdana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0"/>
                <w:sz w:val="20"/>
                <w:szCs w:val="20"/>
                <w:u w:val="none"/>
                <w:shd w:fill="auto" w:val="clear"/>
                <w:vertAlign w:val="baseline"/>
              </w:rPr>
            </w:r>
          </w:p>
        </w:tc>
        <w:tc>
          <w:tcPr>
            <w:tcW w:w="4871" w:type="dxa"/>
            <w:tcBorders/>
          </w:tcPr>
          <w:p>
            <w:pPr>
              <w:pStyle w:val="normal1"/>
              <w:keepNext w:val="false"/>
              <w:keepLines w:val="false"/>
              <w:widowControl w:val="false"/>
              <w:shd w:val="clear" w:fill="auto"/>
              <w:spacing w:lineRule="auto" w:line="240" w:before="0" w:after="0"/>
              <w:ind w:hanging="0" w:left="0" w:right="0"/>
              <w:jc w:val="left"/>
              <w:rPr>
                <w:rFonts w:ascii="Verdana" w:hAnsi="Verdana" w:eastAsia="Liberation Serif" w:cs="Liberation Serif"/>
                <w:b w:val="false"/>
                <w:bCs w:val="false"/>
                <w:i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0"/>
                <w:sz w:val="20"/>
                <w:szCs w:val="20"/>
                <w:u w:val="none"/>
                <w:shd w:fill="auto" w:val="clear"/>
                <w:vertAlign w:val="baseline"/>
              </w:rPr>
            </w:pPr>
            <w:r>
              <w:rPr>
                <w:rFonts w:eastAsia="Liberation Serif" w:cs="Liberation Serif" w:ascii="Verdana" w:hAnsi="Verdana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0"/>
                <w:sz w:val="20"/>
                <w:szCs w:val="20"/>
                <w:u w:val="none"/>
                <w:shd w:fill="auto" w:val="clear"/>
                <w:vertAlign w:val="baseline"/>
              </w:rPr>
            </w:r>
          </w:p>
        </w:tc>
      </w:tr>
      <w:tr>
        <w:trPr/>
        <w:tc>
          <w:tcPr>
            <w:tcW w:w="4873" w:type="dxa"/>
            <w:tcBorders/>
          </w:tcPr>
          <w:p>
            <w:pPr>
              <w:pStyle w:val="normal1"/>
              <w:widowControl w:val="false"/>
              <w:spacing w:lineRule="auto" w:line="240" w:before="0" w:after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Wesley Toniato Lopes</w:t>
            </w:r>
          </w:p>
          <w:p>
            <w:pPr>
              <w:pStyle w:val="normal1"/>
              <w:widowControl w:val="false"/>
              <w:spacing w:lineRule="auto" w:line="240" w:before="0" w:after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Diretor de Departamento Técnico Pedagógico– Matrícula nº 9590</w:t>
            </w:r>
          </w:p>
          <w:p>
            <w:pPr>
              <w:pStyle w:val="normal1"/>
              <w:widowControl w:val="false"/>
              <w:spacing w:lineRule="auto" w:line="240" w:before="0" w:after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</w:r>
          </w:p>
        </w:tc>
        <w:tc>
          <w:tcPr>
            <w:tcW w:w="4871" w:type="dxa"/>
            <w:tcBorders/>
          </w:tcPr>
          <w:p>
            <w:pPr>
              <w:pStyle w:val="normal1"/>
              <w:widowControl w:val="false"/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Jane Lislie Martinelli dos Santos</w:t>
            </w:r>
          </w:p>
          <w:p>
            <w:pPr>
              <w:pStyle w:val="normal1"/>
              <w:widowControl w:val="false"/>
              <w:tabs>
                <w:tab w:val="clear" w:pos="720"/>
                <w:tab w:val="left" w:pos="0" w:leader="none"/>
              </w:tabs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bookmarkStart w:id="0" w:name="_heading=h.71458lsrruzp"/>
            <w:bookmarkEnd w:id="0"/>
            <w:r>
              <w:rPr>
                <w:rFonts w:ascii="Verdana" w:hAnsi="Verdana"/>
                <w:b w:val="false"/>
                <w:bCs w:val="false"/>
                <w:sz w:val="20"/>
                <w:szCs w:val="20"/>
              </w:rPr>
              <w:t>Secretári</w:t>
            </w:r>
            <w:r>
              <w:rPr>
                <w:rFonts w:ascii="Verdana" w:hAnsi="Verdana"/>
                <w:sz w:val="20"/>
                <w:szCs w:val="20"/>
              </w:rPr>
              <w:t>a</w:t>
            </w:r>
            <w:r>
              <w:rPr>
                <w:rFonts w:ascii="Verdana" w:hAnsi="Verdana"/>
                <w:b w:val="false"/>
                <w:bCs w:val="false"/>
                <w:sz w:val="20"/>
                <w:szCs w:val="20"/>
              </w:rPr>
              <w:t xml:space="preserve"> Municipal de</w:t>
            </w:r>
            <w:r>
              <w:rPr>
                <w:rFonts w:ascii="Verdana" w:hAnsi="Verdana"/>
                <w:sz w:val="20"/>
                <w:szCs w:val="20"/>
              </w:rPr>
              <w:t xml:space="preserve"> Educação</w:t>
            </w:r>
          </w:p>
          <w:p>
            <w:pPr>
              <w:pStyle w:val="normal1"/>
              <w:widowControl w:val="false"/>
              <w:tabs>
                <w:tab w:val="clear" w:pos="720"/>
                <w:tab w:val="left" w:pos="0" w:leader="none"/>
              </w:tabs>
              <w:spacing w:lineRule="auto" w:line="240" w:before="0" w:after="0"/>
              <w:ind w:hanging="0" w:left="0" w:right="0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eastAsia="Liberation Serif" w:cs="Liberation Serif" w:ascii="Verdana" w:hAnsi="Verdana"/>
                <w:b w:val="false"/>
                <w:bCs w:val="false"/>
                <w:i w:val="false"/>
                <w:iCs w:val="false"/>
                <w:strike w:val="false"/>
                <w:dstrike w:val="false"/>
                <w:color w:val="000000"/>
                <w:sz w:val="20"/>
                <w:szCs w:val="20"/>
                <w:u w:val="none"/>
              </w:rPr>
              <w:t xml:space="preserve">Decreto nº </w:t>
            </w:r>
            <w:r>
              <w:rPr>
                <w:rFonts w:eastAsia="Liberation Serif" w:cs="Liberation Serif" w:ascii="Verdana" w:hAnsi="Verdana"/>
                <w:sz w:val="20"/>
                <w:szCs w:val="20"/>
              </w:rPr>
              <w:t>4675/2025</w:t>
            </w:r>
          </w:p>
        </w:tc>
      </w:tr>
    </w:tbl>
    <w:p>
      <w:pPr>
        <w:pStyle w:val="normal1"/>
        <w:spacing w:lineRule="auto" w:line="240" w:before="0" w:after="0"/>
        <w:jc w:val="both"/>
        <w:rPr>
          <w:rFonts w:ascii="Verdana" w:hAnsi="Verdana" w:eastAsia="Times New Roman" w:cs="Times New Roman"/>
          <w:b/>
          <w:bCs/>
          <w:color w:val="0000FF"/>
          <w:sz w:val="20"/>
          <w:szCs w:val="20"/>
        </w:rPr>
      </w:pPr>
      <w:r>
        <w:rPr>
          <w:rFonts w:eastAsia="Times New Roman" w:cs="Times New Roman" w:ascii="Verdana" w:hAnsi="Verdana"/>
          <w:b/>
          <w:bCs/>
          <w:color w:val="0000FF"/>
          <w:sz w:val="20"/>
          <w:szCs w:val="20"/>
        </w:rPr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1080" w:right="1080" w:gutter="0" w:header="708" w:top="1440" w:footer="1276" w:bottom="2003"/>
      <w:pgNumType w:start="1" w:fmt="decimal"/>
      <w:formProt w:val="false"/>
      <w:textDirection w:val="lrTb"/>
      <w:docGrid w:type="default" w:linePitch="100" w:charSpace="819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Symbol">
    <w:charset w:val="00"/>
    <w:family w:val="roman"/>
    <w:pitch w:val="variable"/>
    <w:embedRegular r:id="rId5" w:fontKey="{05014A78-CABC-4EF0-12AC-5CD89AEFDE05}"/>
  </w:font>
  <w:font w:name="Courier New">
    <w:charset w:val="00"/>
    <w:family w:val="roman"/>
    <w:pitch w:val="variable"/>
    <w:embedRegular r:id="rId14" w:fontKey="{0E014A78-CABC-4EF0-12AC-5CD89AEFDE0E}"/>
  </w:font>
  <w:font w:name="Tahoma">
    <w:charset w:val="00"/>
    <w:family w:val="roman"/>
    <w:pitch w:val="variable"/>
    <w:embedRegular r:id="rId15" w:fontKey="{0F014A78-CABC-4EF0-12AC-5CD89AEFDE0F}"/>
  </w:font>
  <w:font w:name="Liberation Sans">
    <w:altName w:val="Arial"/>
    <w:charset w:val="00"/>
    <w:family w:val="roman"/>
    <w:pitch w:val="variable"/>
    <w:embedRegular r:id="rId16" w:fontKey="{10014A78-CABC-4EF0-12AC-5CD89AEFDE10}"/>
  </w:font>
  <w:font w:name="OpenSymbol">
    <w:altName w:val="Arial Unicode MS"/>
    <w:charset w:val="00"/>
    <w:family w:val="roman"/>
    <w:pitch w:val="variable"/>
    <w:embedRegular r:id="rId17" w:fontKey="{11014A78-CABC-4EF0-12AC-5CD89AEFDE11}"/>
    <w:embedBold r:id="rId18" w:fontKey="{12014A78-CABC-4EF0-12AC-5CD89AEFDE12}"/>
  </w:font>
  <w:font w:name="Arial">
    <w:charset w:val="00"/>
    <w:family w:val="roman"/>
    <w:pitch w:val="variable"/>
  </w:font>
  <w:font w:name="Calibri">
    <w:charset w:val="00"/>
    <w:family w:val="roman"/>
    <w:pitch w:val="variable"/>
    <w:embedRegular r:id="rId19" w:fontKey="{13014A78-CABC-4EF0-12AC-5CD89AEFDE13}"/>
  </w:font>
  <w:font w:name="IPMDOI+TimesNewRoman">
    <w:charset w:val="00"/>
    <w:family w:val="roman"/>
    <w:pitch w:val="variable"/>
  </w:font>
  <w:font w:name="Univers 45 Light">
    <w:charset w:val="00"/>
    <w:family w:val="roman"/>
    <w:pitch w:val="variable"/>
  </w:font>
  <w:font w:name="Georgia">
    <w:charset w:val="00"/>
    <w:family w:val="roman"/>
    <w:pitch w:val="variable"/>
    <w:embedRegular r:id="rId20" w:fontKey="{14014A78-CABC-4EF0-12AC-5CD89AEFDE14}"/>
    <w:embedBold r:id="rId21" w:fontKey="{15014A78-CABC-4EF0-12AC-5CD89AEFDE15}"/>
    <w:embedItalic r:id="rId22" w:fontKey="{16014A78-CABC-4EF0-12AC-5CD89AEFDE16}"/>
    <w:embedBoldItalic r:id="rId23" w:fontKey="{17014A78-CABC-4EF0-12AC-5CD89AEFDE17}"/>
  </w:font>
  <w:font w:name="Verdana">
    <w:charset w:val="00"/>
    <w:family w:val="roman"/>
    <w:pitch w:val="variable"/>
    <w:embedRegular r:id="rId24" w:fontKey="{18014A78-CABC-4EF0-12AC-5CD89AEFDE18}"/>
  </w:font>
  <w:font w:name="Arial Narrow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pBdr>
        <w:top w:val="single" w:sz="4" w:space="0" w:color="000000"/>
      </w:pBdr>
      <w:tabs>
        <w:tab w:val="clear" w:pos="720"/>
        <w:tab w:val="left" w:pos="540" w:leader="none"/>
        <w:tab w:val="center" w:pos="4419" w:leader="none"/>
        <w:tab w:val="center" w:pos="4536" w:leader="none"/>
        <w:tab w:val="right" w:pos="8838" w:leader="none"/>
      </w:tabs>
      <w:jc w:val="center"/>
      <w:rPr/>
    </w:pPr>
    <w:r>
      <w:rPr>
        <w:rFonts w:eastAsia="Tahoma" w:cs="Tahoma" w:ascii="Tahoma" w:hAnsi="Tahoma"/>
        <w:sz w:val="18"/>
        <w:szCs w:val="18"/>
      </w:rPr>
      <w:t>Praça Vicente Glazar, 159 | São Gabriel da Palha-ES | CEP 29780 000</w:t>
    </w:r>
  </w:p>
  <w:p>
    <w:pPr>
      <w:pStyle w:val="normal1"/>
      <w:jc w:val="center"/>
      <w:rPr/>
    </w:pPr>
    <w:r>
      <w:rPr>
        <w:rFonts w:eastAsia="Tahoma" w:cs="Tahoma" w:ascii="Tahoma" w:hAnsi="Tahoma"/>
        <w:sz w:val="18"/>
        <w:szCs w:val="18"/>
      </w:rPr>
      <w:t>Fone/Fax (027) 3727-1366 | E-mail: ________________@saogabriel.es.gov.br</w: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pBdr>
        <w:top w:val="single" w:sz="4" w:space="0" w:color="000000"/>
      </w:pBdr>
      <w:tabs>
        <w:tab w:val="clear" w:pos="720"/>
        <w:tab w:val="left" w:pos="540" w:leader="none"/>
        <w:tab w:val="center" w:pos="4419" w:leader="none"/>
        <w:tab w:val="center" w:pos="4536" w:leader="none"/>
        <w:tab w:val="right" w:pos="8838" w:leader="none"/>
      </w:tabs>
      <w:jc w:val="center"/>
      <w:rPr/>
    </w:pPr>
    <w:r>
      <w:rPr>
        <w:rFonts w:eastAsia="Tahoma" w:cs="Tahoma" w:ascii="Tahoma" w:hAnsi="Tahoma"/>
        <w:sz w:val="18"/>
        <w:szCs w:val="18"/>
      </w:rPr>
      <w:t>Praça Vicente Glazar, 159 | São Gabriel da Palha-ES | CEP 29780 000</w:t>
    </w:r>
  </w:p>
  <w:p>
    <w:pPr>
      <w:pStyle w:val="normal1"/>
      <w:jc w:val="center"/>
      <w:rPr/>
    </w:pPr>
    <w:r>
      <w:rPr>
        <w:rFonts w:eastAsia="Tahoma" w:cs="Tahoma" w:ascii="Tahoma" w:hAnsi="Tahoma"/>
        <w:sz w:val="18"/>
        <w:szCs w:val="18"/>
      </w:rPr>
      <w:t>Fone/Fax (027) 3727-1366 | E-mail: ________________@saogabriel.es.gov.br</w:t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jc w:val="center"/>
      <w:rPr/>
    </w:pPr>
    <w:r>
      <w:rPr>
        <w:rFonts w:eastAsia="Verdana" w:cs="Verdana" w:ascii="Verdana" w:hAnsi="Verdana"/>
        <w:sz w:val="26"/>
        <w:szCs w:val="26"/>
      </w:rPr>
      <w:t>PREFEITURA MUNICIPAL DE SÃO GABRIEL DA PALHA</w:t>
    </w:r>
    <w:r>
      <w:rPr>
        <w:rFonts w:eastAsia="Verdana" w:cs="Verdana" w:ascii="Verdana" w:hAnsi="Verdana"/>
        <w:b/>
        <w:bCs/>
        <w:sz w:val="26"/>
        <w:szCs w:val="26"/>
      </w:rPr>
      <w:br/>
    </w:r>
    <w:r>
      <w:rPr>
        <w:rFonts w:eastAsia="Calibri" w:cs="Calibri" w:ascii="Calibri" w:hAnsi="Calibri"/>
        <w:sz w:val="22"/>
        <w:szCs w:val="22"/>
      </w:rPr>
      <w:t>ESTADO DO ESPÍRITO SANTO</w:t>
    </w:r>
    <w:r>
      <w:rPr>
        <w:rFonts w:eastAsia="Verdana" w:cs="Verdana" w:ascii="Verdana" w:hAnsi="Verdana"/>
        <w:b/>
        <w:bCs/>
        <w:sz w:val="22"/>
        <w:szCs w:val="22"/>
      </w:rPr>
      <w:br/>
    </w:r>
    <w:r>
      <w:drawing>
        <wp:anchor behindDoc="1" distT="0" distB="0" distL="152400" distR="120015" simplePos="0" locked="0" layoutInCell="0" allowOverlap="1" relativeHeight="5">
          <wp:simplePos x="0" y="0"/>
          <wp:positionH relativeFrom="column">
            <wp:posOffset>-165100</wp:posOffset>
          </wp:positionH>
          <wp:positionV relativeFrom="paragraph">
            <wp:posOffset>-22225</wp:posOffset>
          </wp:positionV>
          <wp:extent cx="644525" cy="542290"/>
          <wp:effectExtent l="0" t="0" r="0" b="0"/>
          <wp:wrapSquare wrapText="bothSides"/>
          <wp:docPr id="1" name="image1.jp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jp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40" t="-45" r="-40" b="-45"/>
                  <a:stretch>
                    <a:fillRect/>
                  </a:stretch>
                </pic:blipFill>
                <pic:spPr bwMode="auto">
                  <a:xfrm>
                    <a:off x="0" y="0"/>
                    <a:ext cx="644525" cy="5422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eastAsia="Arial Narrow" w:cs="Arial Narrow" w:ascii="Arial Narrow" w:hAnsi="Arial Narrow"/>
        <w:b/>
        <w:bCs/>
        <w:sz w:val="22"/>
        <w:szCs w:val="22"/>
      </w:rPr>
      <w:t>Secretaria Municipal de Educação</w:t>
    </w:r>
  </w:p>
  <w:p>
    <w:pPr>
      <w:pStyle w:val="normal1"/>
      <w:keepNext w:val="false"/>
      <w:keepLines w:val="false"/>
      <w:widowControl/>
      <w:shd w:val="clear" w:fill="auto"/>
      <w:tabs>
        <w:tab w:val="clear" w:pos="720"/>
        <w:tab w:val="center" w:pos="4419" w:leader="none"/>
        <w:tab w:val="right" w:pos="8838" w:leader="none"/>
      </w:tabs>
      <w:spacing w:lineRule="auto" w:line="240" w:before="0" w:after="0"/>
      <w:ind w:hanging="0" w:left="0" w:right="0"/>
      <w:jc w:val="left"/>
      <w:rPr>
        <w:rFonts w:ascii="Arial Narrow" w:hAnsi="Arial Narrow" w:eastAsia="Arial Narrow" w:cs="Arial Narrow"/>
        <w:b/>
        <w:bCs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</w:pPr>
    <w:r>
      <w:rPr>
        <w:rFonts w:eastAsia="Arial Narrow" w:cs="Arial Narrow" w:ascii="Arial Narrow" w:hAnsi="Arial Narrow"/>
        <w:b/>
        <w:bCs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jc w:val="center"/>
      <w:rPr/>
    </w:pPr>
    <w:r>
      <w:rPr>
        <w:rFonts w:eastAsia="Verdana" w:cs="Verdana" w:ascii="Verdana" w:hAnsi="Verdana"/>
        <w:sz w:val="26"/>
        <w:szCs w:val="26"/>
      </w:rPr>
      <w:t>PREFEITURA MUNICIPAL DE SÃO GABRIEL DA PALHA</w:t>
    </w:r>
    <w:r>
      <w:rPr>
        <w:rFonts w:eastAsia="Verdana" w:cs="Verdana" w:ascii="Verdana" w:hAnsi="Verdana"/>
        <w:b/>
        <w:bCs/>
        <w:sz w:val="26"/>
        <w:szCs w:val="26"/>
      </w:rPr>
      <w:br/>
    </w:r>
    <w:r>
      <w:rPr>
        <w:rFonts w:eastAsia="Calibri" w:cs="Calibri" w:ascii="Calibri" w:hAnsi="Calibri"/>
        <w:sz w:val="22"/>
        <w:szCs w:val="22"/>
      </w:rPr>
      <w:t>ESTADO DO ESPÍRITO SANTO</w:t>
    </w:r>
    <w:r>
      <w:rPr>
        <w:rFonts w:eastAsia="Verdana" w:cs="Verdana" w:ascii="Verdana" w:hAnsi="Verdana"/>
        <w:b/>
        <w:bCs/>
        <w:sz w:val="22"/>
        <w:szCs w:val="22"/>
      </w:rPr>
      <w:br/>
    </w:r>
    <w:r>
      <w:drawing>
        <wp:anchor behindDoc="1" distT="0" distB="0" distL="152400" distR="120015" simplePos="0" locked="0" layoutInCell="0" allowOverlap="1" relativeHeight="5">
          <wp:simplePos x="0" y="0"/>
          <wp:positionH relativeFrom="column">
            <wp:posOffset>-165100</wp:posOffset>
          </wp:positionH>
          <wp:positionV relativeFrom="paragraph">
            <wp:posOffset>-22225</wp:posOffset>
          </wp:positionV>
          <wp:extent cx="644525" cy="542290"/>
          <wp:effectExtent l="0" t="0" r="0" b="0"/>
          <wp:wrapSquare wrapText="bothSides"/>
          <wp:docPr id="2" name="image1.jp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40" t="-45" r="-40" b="-45"/>
                  <a:stretch>
                    <a:fillRect/>
                  </a:stretch>
                </pic:blipFill>
                <pic:spPr bwMode="auto">
                  <a:xfrm>
                    <a:off x="0" y="0"/>
                    <a:ext cx="644525" cy="5422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eastAsia="Arial Narrow" w:cs="Arial Narrow" w:ascii="Arial Narrow" w:hAnsi="Arial Narrow"/>
        <w:b/>
        <w:bCs/>
        <w:sz w:val="22"/>
        <w:szCs w:val="22"/>
      </w:rPr>
      <w:t>Secretaria Municipal de Educação</w:t>
    </w:r>
  </w:p>
  <w:p>
    <w:pPr>
      <w:pStyle w:val="normal1"/>
      <w:keepNext w:val="false"/>
      <w:keepLines w:val="false"/>
      <w:widowControl/>
      <w:shd w:val="clear" w:fill="auto"/>
      <w:tabs>
        <w:tab w:val="clear" w:pos="720"/>
        <w:tab w:val="center" w:pos="4419" w:leader="none"/>
        <w:tab w:val="right" w:pos="8838" w:leader="none"/>
      </w:tabs>
      <w:spacing w:lineRule="auto" w:line="240" w:before="0" w:after="0"/>
      <w:ind w:hanging="0" w:left="0" w:right="0"/>
      <w:jc w:val="left"/>
      <w:rPr>
        <w:rFonts w:ascii="Arial Narrow" w:hAnsi="Arial Narrow" w:eastAsia="Arial Narrow" w:cs="Arial Narrow"/>
        <w:b/>
        <w:bCs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</w:pPr>
    <w:r>
      <w:rPr>
        <w:rFonts w:eastAsia="Arial Narrow" w:cs="Arial Narrow" w:ascii="Arial Narrow" w:hAnsi="Arial Narrow"/>
        <w:b/>
        <w:bCs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</w:r>
  </w:p>
</w:hdr>
</file>

<file path=word/settings.xml><?xml version="1.0" encoding="utf-8"?>
<w:settings xmlns:w="http://schemas.openxmlformats.org/wordprocessingml/2006/main">
  <w:zoom w:percent="90"/>
  <w:displayBackgroundShape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0"/>
      <w:szCs w:val="20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tabs>
        <w:tab w:val="clear" w:pos="720"/>
        <w:tab w:val="left" w:pos="0" w:leader="none"/>
      </w:tabs>
      <w:ind w:hanging="432" w:left="432" w:right="0"/>
      <w:jc w:val="center"/>
    </w:pPr>
    <w:rPr>
      <w:b/>
      <w:bCs/>
      <w:sz w:val="24"/>
      <w:szCs w:val="24"/>
    </w:rPr>
  </w:style>
  <w:style w:type="paragraph" w:styleId="Heading2">
    <w:name w:val="Heading 2"/>
    <w:basedOn w:val="normal1"/>
    <w:next w:val="normal1"/>
    <w:qFormat/>
    <w:pPr>
      <w:keepNext w:val="true"/>
      <w:tabs>
        <w:tab w:val="clear" w:pos="720"/>
        <w:tab w:val="left" w:pos="0" w:leader="none"/>
      </w:tabs>
      <w:ind w:hanging="576" w:left="576" w:right="0"/>
    </w:pPr>
    <w:rPr>
      <w:b/>
      <w:bCs/>
      <w:sz w:val="24"/>
      <w:szCs w:val="24"/>
      <w:u w:val="single"/>
    </w:rPr>
  </w:style>
  <w:style w:type="paragraph" w:styleId="Heading3">
    <w:name w:val="Heading 3"/>
    <w:basedOn w:val="normal1"/>
    <w:next w:val="normal1"/>
    <w:qFormat/>
    <w:pPr>
      <w:keepNext w:val="true"/>
      <w:jc w:val="both"/>
    </w:pPr>
    <w:rPr>
      <w:b/>
      <w:bCs/>
      <w:color w:val="00000A"/>
    </w:rPr>
  </w:style>
  <w:style w:type="paragraph" w:styleId="Heading4">
    <w:name w:val="Heading 4"/>
    <w:basedOn w:val="normal1"/>
    <w:next w:val="normal1"/>
    <w:qFormat/>
    <w:pPr>
      <w:keepNext w:val="true"/>
      <w:tabs>
        <w:tab w:val="clear" w:pos="720"/>
        <w:tab w:val="left" w:pos="0" w:leader="none"/>
      </w:tabs>
      <w:ind w:hanging="864" w:left="864" w:right="0"/>
    </w:pPr>
    <w:rPr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20" w:after="40"/>
    </w:pPr>
    <w:rPr>
      <w:b/>
      <w:bCs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00" w:after="40"/>
    </w:pPr>
    <w:rPr>
      <w:b/>
      <w:bCs/>
      <w:sz w:val="20"/>
      <w:szCs w:val="20"/>
    </w:rPr>
  </w:style>
  <w:style w:type="paragraph" w:styleId="Heading8">
    <w:name w:val="Heading 8"/>
    <w:basedOn w:val="normal1"/>
    <w:next w:val="normal1"/>
    <w:qFormat/>
    <w:pPr>
      <w:tabs>
        <w:tab w:val="clear" w:pos="720"/>
        <w:tab w:val="left" w:pos="0" w:leader="none"/>
      </w:tabs>
      <w:spacing w:before="240" w:after="60"/>
      <w:ind w:hanging="1440" w:left="1440" w:right="0"/>
      <w:outlineLvl w:val="7"/>
    </w:pPr>
    <w:rPr>
      <w:i/>
      <w:iCs/>
      <w:sz w:val="24"/>
      <w:szCs w:val="24"/>
    </w:rPr>
  </w:style>
  <w:style w:type="character" w:styleId="DefaultParagraphFont">
    <w:name w:val="Default Paragraph Font"/>
    <w:qFormat/>
    <w:rPr/>
  </w:style>
  <w:style w:type="character" w:styleId="WW8Num1z0">
    <w:name w:val="WW8Num1z0"/>
    <w:qFormat/>
    <w:rPr>
      <w:rFonts w:ascii="Symbol" w:hAnsi="Symbol" w:eastAsia="Times New Roman" w:cs="Times New Roman"/>
    </w:rPr>
  </w:style>
  <w:style w:type="character" w:styleId="WW8Num1z1">
    <w:name w:val="WW8Num1z1"/>
    <w:qFormat/>
    <w:rPr>
      <w:rFonts w:ascii="Courier New" w:hAnsi="Courier New" w:cs="Courier New"/>
    </w:rPr>
  </w:style>
  <w:style w:type="character" w:styleId="WW8Num1z2">
    <w:name w:val="WW8Num1z2"/>
    <w:qFormat/>
    <w:rPr/>
  </w:style>
  <w:style w:type="character" w:styleId="WW8Num1z3">
    <w:name w:val="WW8Num1z3"/>
    <w:qFormat/>
    <w:rPr>
      <w:rFonts w:ascii="Symbol" w:hAnsi="Symbol" w:cs="Symbol"/>
    </w:rPr>
  </w:style>
  <w:style w:type="character" w:styleId="WW8Num1z4">
    <w:name w:val="WW8Num1z4"/>
    <w:qFormat/>
    <w:rPr/>
  </w:style>
  <w:style w:type="character" w:styleId="WW8Num1z5">
    <w:name w:val="WW8Num1z5"/>
    <w:qFormat/>
    <w:rPr/>
  </w:style>
  <w:style w:type="character" w:styleId="WW8Num1z6">
    <w:name w:val="WW8Num1z6"/>
    <w:qFormat/>
    <w:rPr/>
  </w:style>
  <w:style w:type="character" w:styleId="WW8Num1z7">
    <w:name w:val="WW8Num1z7"/>
    <w:qFormat/>
    <w:rPr/>
  </w:style>
  <w:style w:type="character" w:styleId="WW8Num1z8">
    <w:name w:val="WW8Num1z8"/>
    <w:qFormat/>
    <w:rPr/>
  </w:style>
  <w:style w:type="character" w:styleId="WW8Num2z0">
    <w:name w:val="WW8Num2z0"/>
    <w:qFormat/>
    <w:rPr>
      <w:rFonts w:ascii="Times New Roman" w:hAnsi="Times New Roman" w:cs="Times New Roman"/>
      <w:b/>
      <w:sz w:val="24"/>
    </w:rPr>
  </w:style>
  <w:style w:type="character" w:styleId="WW8Num2z1">
    <w:name w:val="WW8Num2z1"/>
    <w:qFormat/>
    <w:rPr>
      <w:rFonts w:ascii="Times New Roman" w:hAnsi="Times New Roman" w:cs="Times New Roman"/>
      <w:b w:val="false"/>
      <w:sz w:val="24"/>
    </w:rPr>
  </w:style>
  <w:style w:type="character" w:styleId="WW8Num3z0">
    <w:name w:val="WW8Num3z0"/>
    <w:qFormat/>
    <w:rPr>
      <w:vanish/>
    </w:rPr>
  </w:style>
  <w:style w:type="character" w:styleId="Fontepargpadro3">
    <w:name w:val="Fonte parág. padrão3"/>
    <w:qFormat/>
    <w:rPr/>
  </w:style>
  <w:style w:type="character" w:styleId="Fontepargpadro2">
    <w:name w:val="Fonte parág. padrão2"/>
    <w:qFormat/>
    <w:rPr/>
  </w:style>
  <w:style w:type="character" w:styleId="WW8Num4z0">
    <w:name w:val="WW8Num4z0"/>
    <w:qFormat/>
    <w:rPr>
      <w:b/>
    </w:rPr>
  </w:style>
  <w:style w:type="character" w:styleId="WW8Num4z1">
    <w:name w:val="WW8Num4z1"/>
    <w:qFormat/>
    <w:rPr/>
  </w:style>
  <w:style w:type="character" w:styleId="WW8Num4z2">
    <w:name w:val="WW8Num4z2"/>
    <w:qFormat/>
    <w:rPr/>
  </w:style>
  <w:style w:type="character" w:styleId="WW8Num4z3">
    <w:name w:val="WW8Num4z3"/>
    <w:qFormat/>
    <w:rPr/>
  </w:style>
  <w:style w:type="character" w:styleId="WW8Num4z4">
    <w:name w:val="WW8Num4z4"/>
    <w:qFormat/>
    <w:rPr/>
  </w:style>
  <w:style w:type="character" w:styleId="WW8Num4z5">
    <w:name w:val="WW8Num4z5"/>
    <w:qFormat/>
    <w:rPr/>
  </w:style>
  <w:style w:type="character" w:styleId="WW8Num4z6">
    <w:name w:val="WW8Num4z6"/>
    <w:qFormat/>
    <w:rPr/>
  </w:style>
  <w:style w:type="character" w:styleId="WW8Num4z7">
    <w:name w:val="WW8Num4z7"/>
    <w:qFormat/>
    <w:rPr/>
  </w:style>
  <w:style w:type="character" w:styleId="WW8Num4z8">
    <w:name w:val="WW8Num4z8"/>
    <w:qFormat/>
    <w:rPr/>
  </w:style>
  <w:style w:type="character" w:styleId="WW8Num5z0">
    <w:name w:val="WW8Num5z0"/>
    <w:qFormat/>
    <w:rPr/>
  </w:style>
  <w:style w:type="character" w:styleId="WW8Num5z1">
    <w:name w:val="WW8Num5z1"/>
    <w:qFormat/>
    <w:rPr>
      <w:color w:val="auto"/>
      <w:sz w:val="24"/>
      <w:szCs w:val="24"/>
    </w:rPr>
  </w:style>
  <w:style w:type="character" w:styleId="Fontepargpadro1">
    <w:name w:val="Fonte parág. padrão1"/>
    <w:qFormat/>
    <w:rPr/>
  </w:style>
  <w:style w:type="character" w:styleId="CabealhoChar">
    <w:name w:val="Cabeçalho Char"/>
    <w:qFormat/>
    <w:rPr>
      <w:sz w:val="24"/>
    </w:rPr>
  </w:style>
  <w:style w:type="character" w:styleId="RodapChar">
    <w:name w:val="Rodapé Char"/>
    <w:qFormat/>
    <w:rPr>
      <w:sz w:val="24"/>
    </w:rPr>
  </w:style>
  <w:style w:type="character" w:styleId="PageNumber">
    <w:name w:val="Page Number"/>
    <w:basedOn w:val="Fontepargpadro1"/>
    <w:qFormat/>
    <w:rPr/>
  </w:style>
  <w:style w:type="character" w:styleId="Hyperlink">
    <w:name w:val="Hyperlink"/>
    <w:rPr>
      <w:color w:val="0000FF"/>
      <w:u w:val="single"/>
    </w:rPr>
  </w:style>
  <w:style w:type="character" w:styleId="Caracteresdenotaderodap">
    <w:name w:val="Caracteres de nota de rodapé"/>
    <w:qFormat/>
    <w:rPr>
      <w:vertAlign w:val="superscript"/>
    </w:rPr>
  </w:style>
  <w:style w:type="character" w:styleId="Corpodetexto3Char">
    <w:name w:val="Corpo de texto 3 Char"/>
    <w:qFormat/>
    <w:rPr>
      <w:sz w:val="16"/>
      <w:szCs w:val="16"/>
    </w:rPr>
  </w:style>
  <w:style w:type="character" w:styleId="Corpodetexto2Char">
    <w:name w:val="Corpo de texto 2 Char"/>
    <w:basedOn w:val="Fontepargpadro1"/>
    <w:qFormat/>
    <w:rPr/>
  </w:style>
  <w:style w:type="character" w:styleId="TextodebaloChar">
    <w:name w:val="Texto de balão Char"/>
    <w:qFormat/>
    <w:rPr>
      <w:rFonts w:ascii="Tahoma" w:hAnsi="Tahoma" w:cs="Tahoma"/>
      <w:sz w:val="16"/>
      <w:szCs w:val="16"/>
    </w:rPr>
  </w:style>
  <w:style w:type="character" w:styleId="Smbolosdenumerao">
    <w:name w:val="Símbolos de numeração"/>
    <w:qFormat/>
    <w:rPr/>
  </w:style>
  <w:style w:type="character" w:styleId="Ttulo3Char">
    <w:name w:val="Título 3 Char"/>
    <w:qFormat/>
    <w:rPr>
      <w:b/>
      <w:color w:val="00000A"/>
    </w:rPr>
  </w:style>
  <w:style w:type="character" w:styleId="Recuodecorpodetexto3Char">
    <w:name w:val="Recuo de corpo de texto 3 Char"/>
    <w:qFormat/>
    <w:rPr>
      <w:sz w:val="16"/>
      <w:szCs w:val="16"/>
    </w:rPr>
  </w:style>
  <w:style w:type="character" w:styleId="Ttulo8Char">
    <w:name w:val="Título 8 Char"/>
    <w:qFormat/>
    <w:rPr>
      <w:i/>
      <w:iCs/>
      <w:sz w:val="24"/>
      <w:szCs w:val="24"/>
      <w:lang w:eastAsia="zh-CN"/>
    </w:rPr>
  </w:style>
  <w:style w:type="character" w:styleId="TtuloChar">
    <w:name w:val="Título Char"/>
    <w:qFormat/>
    <w:rPr>
      <w:rFonts w:ascii="Liberation Sans" w:hAnsi="Liberation Sans" w:eastAsia="Microsoft YaHei" w:cs="Lucida Sans"/>
      <w:color w:val="00000A"/>
      <w:sz w:val="28"/>
      <w:szCs w:val="28"/>
    </w:rPr>
  </w:style>
  <w:style w:type="character" w:styleId="Recuodecorpodetexto3Char1">
    <w:name w:val="Recuo de corpo de texto 3 Char1"/>
    <w:qFormat/>
    <w:rPr>
      <w:sz w:val="16"/>
      <w:szCs w:val="16"/>
      <w:lang w:eastAsia="zh-CN"/>
    </w:rPr>
  </w:style>
  <w:style w:type="character" w:styleId="Ttulo1Char">
    <w:name w:val="Título 1 Char"/>
    <w:qFormat/>
    <w:rPr>
      <w:b/>
      <w:bCs/>
      <w:sz w:val="24"/>
      <w:lang w:eastAsia="zh-CN"/>
    </w:rPr>
  </w:style>
  <w:style w:type="character" w:styleId="Ttulo2Char">
    <w:name w:val="Título 2 Char"/>
    <w:qFormat/>
    <w:rPr>
      <w:b/>
      <w:bCs/>
      <w:sz w:val="24"/>
      <w:u w:val="single"/>
      <w:lang w:eastAsia="zh-CN"/>
    </w:rPr>
  </w:style>
  <w:style w:type="character" w:styleId="Ttulo4Char">
    <w:name w:val="Título 4 Char"/>
    <w:qFormat/>
    <w:rPr>
      <w:sz w:val="24"/>
      <w:lang w:eastAsia="zh-CN"/>
    </w:rPr>
  </w:style>
  <w:style w:type="character" w:styleId="CorpodetextoChar">
    <w:name w:val="Corpo de texto Char"/>
    <w:qFormat/>
    <w:rPr>
      <w:lang w:eastAsia="zh-CN"/>
    </w:rPr>
  </w:style>
  <w:style w:type="character" w:styleId="CabealhoChar1">
    <w:name w:val="Cabeçalho Char1"/>
    <w:qFormat/>
    <w:rPr>
      <w:sz w:val="24"/>
      <w:lang w:eastAsia="zh-CN"/>
    </w:rPr>
  </w:style>
  <w:style w:type="character" w:styleId="RodapChar1">
    <w:name w:val="Rodapé Char1"/>
    <w:qFormat/>
    <w:rPr>
      <w:sz w:val="24"/>
      <w:lang w:eastAsia="zh-CN"/>
    </w:rPr>
  </w:style>
  <w:style w:type="character" w:styleId="TextodebaloChar1">
    <w:name w:val="Texto de balão Char1"/>
    <w:qFormat/>
    <w:rPr>
      <w:rFonts w:ascii="Tahoma" w:hAnsi="Tahoma" w:cs="Tahoma"/>
      <w:sz w:val="16"/>
      <w:szCs w:val="16"/>
      <w:lang w:eastAsia="zh-CN"/>
    </w:rPr>
  </w:style>
  <w:style w:type="character" w:styleId="TextodenotaderodapChar">
    <w:name w:val="Texto de nota de rodapé Char"/>
    <w:qFormat/>
    <w:rPr>
      <w:lang w:eastAsia="zh-CN"/>
    </w:rPr>
  </w:style>
  <w:style w:type="character" w:styleId="TtuloChar1">
    <w:name w:val="Título Char1"/>
    <w:qFormat/>
    <w:rPr>
      <w:rFonts w:ascii="Liberation Sans" w:hAnsi="Liberation Sans" w:eastAsia="Microsoft YaHei" w:cs="Lucida Sans"/>
      <w:color w:val="00000A"/>
      <w:sz w:val="28"/>
      <w:szCs w:val="28"/>
      <w:lang w:eastAsia="zh-CN"/>
    </w:rPr>
  </w:style>
  <w:style w:type="character" w:styleId="FootnoteReference">
    <w:name w:val="Footnote Reference"/>
    <w:rPr>
      <w:vertAlign w:val="superscript"/>
    </w:rPr>
  </w:style>
  <w:style w:type="character" w:styleId="FootnoteCharacters">
    <w:name w:val="Footnote Characters"/>
    <w:basedOn w:val="DefaultParagraphFont"/>
    <w:qFormat/>
    <w:rPr>
      <w:vertAlign w:val="superscript"/>
    </w:rPr>
  </w:style>
  <w:style w:type="character" w:styleId="LineNumber">
    <w:name w:val="Line Number"/>
    <w:rPr/>
  </w:style>
  <w:style w:type="character" w:styleId="WW8Num3z1">
    <w:name w:val="WW8Num3z1"/>
    <w:qFormat/>
    <w:rPr>
      <w:rFonts w:ascii="OpenSymbol;Arial Unicode MS" w:hAnsi="OpenSymbol;Arial Unicode MS" w:cs="Courier New"/>
    </w:rPr>
  </w:style>
  <w:style w:type="paragraph" w:styleId="Ttulo">
    <w:name w:val="Título"/>
    <w:basedOn w:val="normal1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1"/>
    <w:pPr>
      <w:spacing w:before="0" w:after="12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1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>
    <w:name w:val="Índice"/>
    <w:basedOn w:val="normal1"/>
    <w:qFormat/>
    <w:pPr>
      <w:suppressLineNumbers/>
    </w:pPr>
    <w:rPr>
      <w:rFonts w:cs="Lucida Sans"/>
    </w:rPr>
  </w:style>
  <w:style w:type="paragraph" w:styleId="normal1" w:default="1">
    <w:name w:val="normal1"/>
    <w:qFormat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0"/>
      <w:szCs w:val="20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spacing w:lineRule="auto" w:line="240" w:before="240" w:after="120"/>
    </w:pPr>
    <w:rPr>
      <w:rFonts w:ascii="Liberation Sans" w:hAnsi="Liberation Sans" w:eastAsia="Liberation Sans" w:cs="Liberation Sans"/>
      <w:color w:val="00000A"/>
      <w:sz w:val="28"/>
      <w:szCs w:val="28"/>
    </w:rPr>
  </w:style>
  <w:style w:type="paragraph" w:styleId="Ttulo3">
    <w:name w:val="Título3"/>
    <w:basedOn w:val="normal1"/>
    <w:next w:val="BodyText"/>
    <w:qFormat/>
    <w:pPr>
      <w:keepNext w:val="true"/>
      <w:suppressAutoHyphens w:val="false"/>
      <w:spacing w:before="240" w:after="120"/>
    </w:pPr>
    <w:rPr>
      <w:rFonts w:ascii="Liberation Sans" w:hAnsi="Liberation Sans" w:eastAsia="Microsoft YaHei" w:cs="Lucida Sans"/>
      <w:color w:val="00000A"/>
      <w:sz w:val="28"/>
      <w:szCs w:val="28"/>
    </w:rPr>
  </w:style>
  <w:style w:type="paragraph" w:styleId="Ttulo2">
    <w:name w:val="Título2"/>
    <w:basedOn w:val="normal1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tulo1">
    <w:name w:val="Título1"/>
    <w:basedOn w:val="normal1"/>
    <w:next w:val="BodyText"/>
    <w:qFormat/>
    <w:pPr>
      <w:keepNext w:val="true"/>
      <w:spacing w:before="240" w:after="120"/>
    </w:pPr>
    <w:rPr>
      <w:rFonts w:ascii="Arial" w:hAnsi="Arial" w:eastAsia="Arial Unicode MS" w:cs="Lucida Sans"/>
      <w:sz w:val="28"/>
      <w:szCs w:val="28"/>
    </w:rPr>
  </w:style>
  <w:style w:type="paragraph" w:styleId="Legenda1">
    <w:name w:val="Legenda1"/>
    <w:basedOn w:val="normal1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CabealhoeRodap">
    <w:name w:val="Cabeçalho e Rodapé"/>
    <w:basedOn w:val="normal1"/>
    <w:qFormat/>
    <w:pPr/>
    <w:rPr/>
  </w:style>
  <w:style w:type="paragraph" w:styleId="Cabealhoerodap1">
    <w:name w:val="Cabeçalho e rodapé1"/>
    <w:basedOn w:val="Normal"/>
    <w:qFormat/>
    <w:pPr/>
    <w:rPr/>
  </w:style>
  <w:style w:type="paragraph" w:styleId="Cabealhoerodap2">
    <w:name w:val="Cabeçalho e rodapé2"/>
    <w:basedOn w:val="Normal"/>
    <w:qFormat/>
    <w:pPr/>
    <w:rPr/>
  </w:style>
  <w:style w:type="paragraph" w:styleId="Header">
    <w:name w:val="Header"/>
    <w:basedOn w:val="normal1"/>
    <w:pPr>
      <w:tabs>
        <w:tab w:val="clear" w:pos="720"/>
        <w:tab w:val="center" w:pos="4419" w:leader="none"/>
        <w:tab w:val="right" w:pos="8838" w:leader="none"/>
      </w:tabs>
      <w:overflowPunct w:val="false"/>
      <w:textAlignment w:val="baseline"/>
    </w:pPr>
    <w:rPr>
      <w:sz w:val="24"/>
    </w:rPr>
  </w:style>
  <w:style w:type="paragraph" w:styleId="Footer">
    <w:name w:val="Footer"/>
    <w:basedOn w:val="normal1"/>
    <w:pPr>
      <w:tabs>
        <w:tab w:val="clear" w:pos="720"/>
        <w:tab w:val="center" w:pos="4419" w:leader="none"/>
        <w:tab w:val="right" w:pos="8838" w:leader="none"/>
      </w:tabs>
      <w:overflowPunct w:val="false"/>
      <w:textAlignment w:val="baseline"/>
    </w:pPr>
    <w:rPr>
      <w:sz w:val="24"/>
    </w:rPr>
  </w:style>
  <w:style w:type="paragraph" w:styleId="BalloonText">
    <w:name w:val="Balloon Text"/>
    <w:basedOn w:val="normal1"/>
    <w:qFormat/>
    <w:pPr/>
    <w:rPr>
      <w:rFonts w:ascii="Tahoma" w:hAnsi="Tahoma" w:cs="Tahoma"/>
      <w:sz w:val="16"/>
      <w:szCs w:val="16"/>
    </w:rPr>
  </w:style>
  <w:style w:type="paragraph" w:styleId="FootnoteText">
    <w:name w:val="Footnote Text"/>
    <w:basedOn w:val="normal1"/>
    <w:pPr/>
    <w:rPr/>
  </w:style>
  <w:style w:type="paragraph" w:styleId="ListParagraph">
    <w:name w:val="List Paragraph"/>
    <w:basedOn w:val="normal1"/>
    <w:qFormat/>
    <w:pPr>
      <w:spacing w:lineRule="auto" w:line="276" w:before="0" w:after="200"/>
      <w:ind w:hanging="0" w:left="720" w:right="0"/>
    </w:pPr>
    <w:rPr>
      <w:rFonts w:ascii="Calibri" w:hAnsi="Calibri" w:eastAsia="Calibri" w:cs="Calibri"/>
      <w:sz w:val="22"/>
      <w:szCs w:val="22"/>
    </w:rPr>
  </w:style>
  <w:style w:type="paragraph" w:styleId="Default">
    <w:name w:val="Default"/>
    <w:qFormat/>
    <w:pPr>
      <w:widowControl/>
      <w:suppressAutoHyphens w:val="true"/>
      <w:overflowPunct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000000"/>
      <w:kern w:val="0"/>
      <w:sz w:val="24"/>
      <w:szCs w:val="24"/>
      <w:lang w:val="pt-BR" w:eastAsia="zh-CN" w:bidi="ar-SA"/>
    </w:rPr>
  </w:style>
  <w:style w:type="paragraph" w:styleId="Corpodetexto31">
    <w:name w:val="Corpo de texto 31"/>
    <w:basedOn w:val="normal1"/>
    <w:qFormat/>
    <w:pPr>
      <w:spacing w:before="0" w:after="120"/>
    </w:pPr>
    <w:rPr>
      <w:sz w:val="16"/>
      <w:szCs w:val="16"/>
    </w:rPr>
  </w:style>
  <w:style w:type="paragraph" w:styleId="Corpodetexto21">
    <w:name w:val="Corpo de texto 21"/>
    <w:basedOn w:val="normal1"/>
    <w:qFormat/>
    <w:pPr>
      <w:spacing w:lineRule="auto" w:line="480" w:before="0" w:after="120"/>
    </w:pPr>
    <w:rPr/>
  </w:style>
  <w:style w:type="paragraph" w:styleId="xl61">
    <w:name w:val="xl61"/>
    <w:basedOn w:val="Default"/>
    <w:next w:val="Default"/>
    <w:qFormat/>
    <w:pPr>
      <w:spacing w:before="280" w:after="280"/>
    </w:pPr>
    <w:rPr>
      <w:rFonts w:ascii="IPMDOI+TimesNewRoman" w:hAnsi="IPMDOI+TimesNewRoman" w:cs="IPMDOI+TimesNewRoman"/>
      <w:color w:val="auto"/>
    </w:rPr>
  </w:style>
  <w:style w:type="paragraph" w:styleId="WW-Padro">
    <w:name w:val="WW-Padrão"/>
    <w:basedOn w:val="Default"/>
    <w:next w:val="Default"/>
    <w:qFormat/>
    <w:pPr/>
    <w:rPr>
      <w:rFonts w:ascii="IPMDOI+TimesNewRoman" w:hAnsi="IPMDOI+TimesNewRoman" w:cs="IPMDOI+TimesNewRoman"/>
      <w:color w:val="auto"/>
    </w:rPr>
  </w:style>
  <w:style w:type="paragraph" w:styleId="Contedodetabela">
    <w:name w:val="Conteúdo de tabela"/>
    <w:basedOn w:val="normal1"/>
    <w:qFormat/>
    <w:pPr>
      <w:suppressLineNumbers/>
    </w:pPr>
    <w:rPr/>
  </w:style>
  <w:style w:type="paragraph" w:styleId="Contedodatabela">
    <w:name w:val="Conteúdo da tabela"/>
    <w:basedOn w:val="normal1"/>
    <w:qFormat/>
    <w:pPr>
      <w:suppressLineNumbers/>
    </w:pPr>
    <w:rPr/>
  </w:style>
  <w:style w:type="paragraph" w:styleId="Ttulodetabela">
    <w:name w:val="Título de tabela"/>
    <w:basedOn w:val="Contedodetabela"/>
    <w:qFormat/>
    <w:pPr>
      <w:jc w:val="center"/>
    </w:pPr>
    <w:rPr>
      <w:b/>
      <w:bCs/>
    </w:rPr>
  </w:style>
  <w:style w:type="paragraph" w:styleId="Recuodecorpodetexto31">
    <w:name w:val="Recuo de corpo de texto 31"/>
    <w:basedOn w:val="normal1"/>
    <w:qFormat/>
    <w:pPr>
      <w:suppressAutoHyphens w:val="false"/>
      <w:spacing w:before="0" w:after="120"/>
      <w:ind w:hanging="0" w:left="283" w:right="0"/>
    </w:pPr>
    <w:rPr>
      <w:sz w:val="16"/>
      <w:szCs w:val="16"/>
    </w:rPr>
  </w:style>
  <w:style w:type="paragraph" w:styleId="WW-Textosimples">
    <w:name w:val="WW-Texto simples"/>
    <w:basedOn w:val="normal1"/>
    <w:qFormat/>
    <w:pPr/>
    <w:rPr>
      <w:rFonts w:ascii="Courier New" w:hAnsi="Courier New" w:cs="Courier New"/>
      <w:color w:val="00000A"/>
    </w:rPr>
  </w:style>
  <w:style w:type="paragraph" w:styleId="Normal0">
    <w:name w:val="Normal_0"/>
    <w:qFormat/>
    <w:pPr>
      <w:widowControl/>
      <w:tabs>
        <w:tab w:val="clear" w:pos="720"/>
        <w:tab w:val="left" w:pos="1418" w:leader="none"/>
        <w:tab w:val="left" w:pos="1985" w:leader="none"/>
        <w:tab w:val="left" w:pos="2552" w:leader="none"/>
        <w:tab w:val="left" w:pos="3402" w:leader="none"/>
        <w:tab w:val="left" w:pos="4253" w:leader="none"/>
        <w:tab w:val="left" w:pos="4820" w:leader="none"/>
      </w:tabs>
      <w:suppressAutoHyphens w:val="true"/>
      <w:overflowPunct w:val="true"/>
      <w:bidi w:val="0"/>
      <w:spacing w:before="0" w:after="0"/>
      <w:jc w:val="both"/>
    </w:pPr>
    <w:rPr>
      <w:rFonts w:ascii="Times New Roman" w:hAnsi="Times New Roman" w:eastAsia="Times New Roman" w:cs="Times New Roman"/>
      <w:color w:val="auto"/>
      <w:kern w:val="0"/>
      <w:sz w:val="24"/>
      <w:szCs w:val="22"/>
      <w:lang w:val="pt-BR" w:eastAsia="en-US" w:bidi="ar-SA"/>
    </w:rPr>
  </w:style>
  <w:style w:type="paragraph" w:styleId="Indentado0">
    <w:name w:val="Indentado_0"/>
    <w:basedOn w:val="Normal0"/>
    <w:qFormat/>
    <w:pPr>
      <w:tabs>
        <w:tab w:val="left" w:pos="1418" w:leader="none"/>
        <w:tab w:val="left" w:pos="1985" w:leader="none"/>
        <w:tab w:val="left" w:pos="2552" w:leader="none"/>
        <w:tab w:val="left" w:pos="3402" w:leader="none"/>
        <w:tab w:val="left" w:pos="4253" w:leader="none"/>
        <w:tab w:val="left" w:pos="4820" w:leader="none"/>
        <w:tab w:val="right" w:pos="9923" w:leader="none"/>
      </w:tabs>
      <w:ind w:firstLine="851" w:left="567" w:right="0"/>
    </w:pPr>
    <w:rPr/>
  </w:style>
  <w:style w:type="paragraph" w:styleId="Pa4">
    <w:name w:val="Pa4"/>
    <w:basedOn w:val="Default"/>
    <w:next w:val="Default"/>
    <w:qFormat/>
    <w:pPr>
      <w:suppressAutoHyphens w:val="false"/>
      <w:spacing w:lineRule="atLeast" w:line="181"/>
    </w:pPr>
    <w:rPr>
      <w:rFonts w:ascii="Univers 45 Light" w:hAnsi="Univers 45 Light" w:eastAsia="SimSun"/>
      <w:color w:val="auto"/>
      <w:lang w:eastAsia="pt-BR"/>
    </w:rPr>
  </w:style>
  <w:style w:type="paragraph" w:styleId="Pa28">
    <w:name w:val="Pa28"/>
    <w:basedOn w:val="Default"/>
    <w:next w:val="Default"/>
    <w:qFormat/>
    <w:pPr>
      <w:suppressAutoHyphens w:val="false"/>
      <w:spacing w:lineRule="atLeast" w:line="181"/>
    </w:pPr>
    <w:rPr>
      <w:rFonts w:ascii="Univers 45 Light" w:hAnsi="Univers 45 Light" w:eastAsia="SimSun"/>
      <w:color w:val="auto"/>
      <w:lang w:eastAsia="pt-BR"/>
    </w:rPr>
  </w:style>
  <w:style w:type="paragraph" w:styleId="PargrafodaLista">
    <w:name w:val="Parágrafo da Lista"/>
    <w:basedOn w:val="normal1"/>
    <w:qFormat/>
    <w:pPr>
      <w:spacing w:lineRule="auto" w:line="276" w:before="0" w:after="200"/>
      <w:ind w:hanging="0" w:left="720" w:right="0"/>
    </w:pPr>
    <w:rPr>
      <w:rFonts w:ascii="Calibri" w:hAnsi="Calibri" w:eastAsia="Calibri" w:cs="Calibri"/>
      <w:sz w:val="22"/>
      <w:szCs w:val="22"/>
    </w:rPr>
  </w:style>
  <w:style w:type="paragraph" w:styleId="Padro">
    <w:name w:val="Padrão"/>
    <w:qFormat/>
    <w:pPr>
      <w:widowControl/>
      <w:tabs>
        <w:tab w:val="clear" w:pos="720"/>
        <w:tab w:val="left" w:pos="708" w:leader="none"/>
      </w:tabs>
      <w:suppressAutoHyphens w:val="true"/>
      <w:overflowPunct w:val="true"/>
      <w:bidi w:val="0"/>
      <w:spacing w:lineRule="auto" w:line="276" w:before="0" w:after="200"/>
      <w:jc w:val="left"/>
    </w:pPr>
    <w:rPr>
      <w:rFonts w:ascii="Times New Roman" w:hAnsi="Times New Roman" w:eastAsia="SimSun;宋体" w:cs="Mangal"/>
      <w:color w:val="auto"/>
      <w:kern w:val="2"/>
      <w:sz w:val="24"/>
      <w:szCs w:val="24"/>
      <w:lang w:val="pt-BR" w:eastAsia="zh-CN" w:bidi="hi-IN"/>
    </w:rPr>
  </w:style>
  <w:style w:type="paragraph" w:styleId="LO-Normal">
    <w:name w:val="LO-Normal"/>
    <w:qFormat/>
    <w:pPr>
      <w:widowControl w:val="false"/>
      <w:suppressAutoHyphens w:val="true"/>
      <w:overflowPunct w:val="true"/>
      <w:bidi w:val="0"/>
      <w:spacing w:before="0" w:after="0"/>
      <w:jc w:val="left"/>
    </w:pPr>
    <w:rPr>
      <w:rFonts w:ascii="Liberation Serif;Times New Roman" w:hAnsi="Liberation Serif;Times New Roman" w:eastAsia="SimSun" w:cs="Mangal"/>
      <w:color w:val="auto"/>
      <w:kern w:val="2"/>
      <w:sz w:val="24"/>
      <w:szCs w:val="24"/>
      <w:lang w:val="pt-BR" w:eastAsia="zh-CN" w:bidi="hi-IN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numbering" w:styleId="WW8Num3">
    <w:name w:val="WW8Num3"/>
    <w:qFormat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fontTable" Target="fontTable.xml"/><Relationship Id="rId9" Type="http://schemas.openxmlformats.org/officeDocument/2006/relationships/settings" Target="settings.xml"/><Relationship Id="rId10" Type="http://schemas.openxmlformats.org/officeDocument/2006/relationships/theme" Target="theme/theme1.xml"/><Relationship Id="rId11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jpe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jpeg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880bXlf/P1bBs1xdpftC+2X0ngg==">CgMxLjAaHwoBMBIaChgICVIUChJ0YWJsZS5xNjRpZnB5dW9vMTkyDmguNzE0NThsc3JydXpwOAByITFMcmUySFItZVFUVGRxbDRaRWRSRDZpOHJ1RnhDd1BaMQ==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LibreOffice/24.2.7.2$Windows_X86_64 LibreOffice_project/ee3885777aa7032db5a9b65deec9457448a91162</Application>
  <AppVersion>15.0000</AppVersion>
  <Pages>4</Pages>
  <Words>1321</Words>
  <Characters>7486</Characters>
  <CharactersWithSpaces>8710</CharactersWithSpaces>
  <Paragraphs>111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2019-06-04T16:18:00Z</dcterms:created>
  <dc:creator>PMSGP</dc:creator>
  <dc:description/>
  <dc:language>pt-BR</dc:language>
  <cp:lastModifiedBy/>
  <cp:lastPrinted>2026-02-10T17:48:54Z</cp:lastPrinted>
  <dcterms:modified xsi:type="dcterms:W3CDTF">2026-02-10T17:49:04Z</dcterms:modified>
  <cp:revision>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0</vt:bool>
  </property>
  <property fmtid="{D5CDD505-2E9C-101B-9397-08002B2CF9AE}" pid="3" name="LinksUpToDate">
    <vt:bool>0</vt:bool>
  </property>
  <property fmtid="{D5CDD505-2E9C-101B-9397-08002B2CF9AE}" pid="4" name="ScaleCrop">
    <vt:bool>0</vt:bool>
  </property>
  <property fmtid="{D5CDD505-2E9C-101B-9397-08002B2CF9AE}" pid="5" name="ShareDoc">
    <vt:bool>0</vt:bool>
  </property>
</Properties>
</file>